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BCB" w:rsidRPr="00FC3E9A" w:rsidRDefault="002A4BCB" w:rsidP="00FC3E9A"/>
    <w:tbl>
      <w:tblPr>
        <w:tblStyle w:val="TableGrid"/>
        <w:tblW w:w="808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1843"/>
        <w:gridCol w:w="425"/>
        <w:gridCol w:w="1418"/>
        <w:gridCol w:w="1984"/>
      </w:tblGrid>
      <w:tr w:rsidR="002A4BCB" w:rsidRPr="00B96E47" w:rsidTr="00540494">
        <w:trPr>
          <w:trHeight w:val="494"/>
        </w:trPr>
        <w:tc>
          <w:tcPr>
            <w:tcW w:w="1134" w:type="dxa"/>
            <w:shd w:val="clear" w:color="auto" w:fill="FFFFFF" w:themeFill="background1"/>
            <w:vAlign w:val="center"/>
          </w:tcPr>
          <w:p w:rsidR="002A4BCB" w:rsidRPr="00B96E47" w:rsidRDefault="002A4BCB" w:rsidP="00FC3E9A">
            <w:pPr>
              <w:jc w:val="center"/>
            </w:pPr>
            <w:r w:rsidRPr="00B96E47">
              <w:t>Week Beginning</w:t>
            </w:r>
          </w:p>
        </w:tc>
        <w:tc>
          <w:tcPr>
            <w:tcW w:w="6946" w:type="dxa"/>
            <w:gridSpan w:val="5"/>
            <w:shd w:val="clear" w:color="auto" w:fill="BDD6EE" w:themeFill="accent1" w:themeFillTint="66"/>
            <w:vAlign w:val="center"/>
          </w:tcPr>
          <w:p w:rsidR="002A4BCB" w:rsidRPr="00B96E47" w:rsidRDefault="009F4115" w:rsidP="00FC3E9A">
            <w:pPr>
              <w:rPr>
                <w:b/>
                <w:bCs/>
              </w:rPr>
            </w:pPr>
            <w:r>
              <w:t>17</w:t>
            </w:r>
            <w:r w:rsidRPr="009F4115">
              <w:rPr>
                <w:vertAlign w:val="superscript"/>
              </w:rPr>
              <w:t>th</w:t>
            </w:r>
            <w:r>
              <w:t xml:space="preserve"> </w:t>
            </w:r>
            <w:r w:rsidR="005F5209">
              <w:t xml:space="preserve">September </w:t>
            </w:r>
            <w:r w:rsidR="002A4BCB" w:rsidRPr="00B96E47">
              <w:t>2017</w:t>
            </w:r>
          </w:p>
        </w:tc>
      </w:tr>
      <w:tr w:rsidR="000014F3" w:rsidRPr="00B96E47" w:rsidTr="00540494">
        <w:trPr>
          <w:trHeight w:val="1508"/>
        </w:trPr>
        <w:tc>
          <w:tcPr>
            <w:tcW w:w="1134" w:type="dxa"/>
            <w:shd w:val="clear" w:color="auto" w:fill="FFFFFF" w:themeFill="background1"/>
            <w:vAlign w:val="center"/>
          </w:tcPr>
          <w:p w:rsidR="000014F3" w:rsidRPr="00B96E47" w:rsidRDefault="000014F3" w:rsidP="00FC3E9A">
            <w:pPr>
              <w:jc w:val="center"/>
            </w:pPr>
            <w:r w:rsidRPr="00B96E47">
              <w:t>Headcounts &amp; Larkin Tour counts</w:t>
            </w:r>
          </w:p>
        </w:tc>
        <w:tc>
          <w:tcPr>
            <w:tcW w:w="3544" w:type="dxa"/>
            <w:gridSpan w:val="3"/>
            <w:vAlign w:val="center"/>
          </w:tcPr>
          <w:p w:rsidR="002A4BCB" w:rsidRPr="003A401B" w:rsidRDefault="004E7856" w:rsidP="003A401B">
            <w:pPr>
              <w:jc w:val="center"/>
              <w:rPr>
                <w:color w:val="0563C1" w:themeColor="hyperlink"/>
                <w:u w:val="single"/>
              </w:rPr>
            </w:pPr>
            <w:hyperlink r:id="rId8" w:history="1">
              <w:r w:rsidR="000014F3" w:rsidRPr="00B96E47">
                <w:rPr>
                  <w:rStyle w:val="Hyperlink"/>
                </w:rPr>
                <w:t>https://docs.google.com/spreadsheets/d/1Gc3B91pmU3u8jCmyk8KScT2jwH1my3OWZVTFlrmlSZw/edit?usp=sharing</w:t>
              </w:r>
            </w:hyperlink>
          </w:p>
        </w:tc>
        <w:tc>
          <w:tcPr>
            <w:tcW w:w="1418" w:type="dxa"/>
            <w:vAlign w:val="center"/>
          </w:tcPr>
          <w:p w:rsidR="000014F3" w:rsidRPr="00B96E47" w:rsidRDefault="003A401B" w:rsidP="00FC3E9A">
            <w:r>
              <w:t xml:space="preserve">Any noticeable attendance </w:t>
            </w:r>
            <w:proofErr w:type="gramStart"/>
            <w:r>
              <w:t>drops?</w:t>
            </w:r>
            <w:proofErr w:type="gramEnd"/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:rsidR="000014F3" w:rsidRPr="00B96E47" w:rsidRDefault="009F4115" w:rsidP="00FC3E9A">
            <w:pPr>
              <w:rPr>
                <w:b/>
                <w:bCs/>
              </w:rPr>
            </w:pPr>
            <w:r>
              <w:rPr>
                <w:b/>
                <w:bCs/>
              </w:rPr>
              <w:t>Quiet again. Drops in attendance from last week.</w:t>
            </w:r>
            <w:r w:rsidR="0090650C">
              <w:rPr>
                <w:b/>
                <w:bCs/>
              </w:rPr>
              <w:t xml:space="preserve"> </w:t>
            </w:r>
          </w:p>
        </w:tc>
      </w:tr>
      <w:tr w:rsidR="005E755C" w:rsidRPr="00B96E47" w:rsidTr="00540494">
        <w:trPr>
          <w:trHeight w:val="582"/>
        </w:trPr>
        <w:tc>
          <w:tcPr>
            <w:tcW w:w="1134" w:type="dxa"/>
            <w:shd w:val="clear" w:color="auto" w:fill="FFFFFF" w:themeFill="background1"/>
            <w:vAlign w:val="center"/>
          </w:tcPr>
          <w:p w:rsidR="005E755C" w:rsidRPr="00B96E47" w:rsidRDefault="005E755C" w:rsidP="00FC3E9A">
            <w:pPr>
              <w:jc w:val="center"/>
            </w:pPr>
            <w:r w:rsidRPr="00B96E47">
              <w:t>No. of Larkin Letters</w:t>
            </w: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:rsidR="005E755C" w:rsidRPr="00B96E47" w:rsidRDefault="009F4115" w:rsidP="00FC3E9A">
            <w:pPr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</w:p>
        </w:tc>
        <w:tc>
          <w:tcPr>
            <w:tcW w:w="1843" w:type="dxa"/>
            <w:vAlign w:val="center"/>
          </w:tcPr>
          <w:p w:rsidR="005E755C" w:rsidRPr="00B96E47" w:rsidRDefault="005E755C" w:rsidP="00FC3E9A">
            <w:r w:rsidRPr="00B96E47">
              <w:t>Available for download at ---&gt;</w:t>
            </w:r>
          </w:p>
        </w:tc>
        <w:tc>
          <w:tcPr>
            <w:tcW w:w="3827" w:type="dxa"/>
            <w:gridSpan w:val="3"/>
            <w:vAlign w:val="center"/>
          </w:tcPr>
          <w:p w:rsidR="005E755C" w:rsidRPr="00B96E47" w:rsidRDefault="004E7856" w:rsidP="00FC3E9A">
            <w:pPr>
              <w:rPr>
                <w:rStyle w:val="Hyperlink"/>
              </w:rPr>
            </w:pPr>
            <w:hyperlink r:id="rId9" w:history="1">
              <w:r w:rsidR="005E755C" w:rsidRPr="00B96E47">
                <w:rPr>
                  <w:rStyle w:val="Hyperlink"/>
                </w:rPr>
                <w:t>https://universityofhull.box.com/s/jrn3dj2a8o1ng4bfjdzxj9sw2sani84o</w:t>
              </w:r>
            </w:hyperlink>
          </w:p>
          <w:p w:rsidR="002A4BCB" w:rsidRPr="00B96E47" w:rsidRDefault="002A4BCB" w:rsidP="00FC3E9A"/>
        </w:tc>
      </w:tr>
      <w:tr w:rsidR="004E7856" w:rsidRPr="00B96E47" w:rsidTr="004E7856">
        <w:trPr>
          <w:trHeight w:val="591"/>
        </w:trPr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4E7856" w:rsidRPr="00B96E47" w:rsidRDefault="004E7856" w:rsidP="00FC3E9A">
            <w:pPr>
              <w:jc w:val="center"/>
            </w:pPr>
            <w:r>
              <w:t>Feedback from COC Volunteers and Visitors</w:t>
            </w:r>
          </w:p>
        </w:tc>
        <w:tc>
          <w:tcPr>
            <w:tcW w:w="6946" w:type="dxa"/>
            <w:gridSpan w:val="5"/>
            <w:shd w:val="clear" w:color="auto" w:fill="BDD6EE" w:themeFill="accent1" w:themeFillTint="66"/>
            <w:vAlign w:val="center"/>
          </w:tcPr>
          <w:p w:rsidR="004E7856" w:rsidRPr="0090650C" w:rsidRDefault="004E7856" w:rsidP="00540494">
            <w:pPr>
              <w:rPr>
                <w:sz w:val="20"/>
                <w:szCs w:val="20"/>
              </w:rPr>
            </w:pPr>
            <w:r w:rsidRPr="0090650C">
              <w:rPr>
                <w:sz w:val="20"/>
                <w:szCs w:val="20"/>
              </w:rPr>
              <w:t xml:space="preserve">None to share, Larkin Volunteer numbers have again picked up. We are getting a few return volunteers who are again enjoying their shifts in the space. </w:t>
            </w:r>
          </w:p>
        </w:tc>
      </w:tr>
      <w:tr w:rsidR="004E7856" w:rsidRPr="00B96E47" w:rsidTr="0090650C">
        <w:trPr>
          <w:trHeight w:val="1584"/>
        </w:trPr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4E7856" w:rsidRDefault="004E7856" w:rsidP="00FC3E9A">
            <w:pPr>
              <w:jc w:val="center"/>
            </w:pPr>
          </w:p>
        </w:tc>
        <w:tc>
          <w:tcPr>
            <w:tcW w:w="6946" w:type="dxa"/>
            <w:gridSpan w:val="5"/>
            <w:shd w:val="clear" w:color="auto" w:fill="BDD6EE" w:themeFill="accent1" w:themeFillTint="66"/>
            <w:vAlign w:val="center"/>
          </w:tcPr>
          <w:p w:rsidR="004E7856" w:rsidRPr="0090650C" w:rsidRDefault="004E7856" w:rsidP="00540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See attached docs – one volunteer was very excited to find an article in a Phillip Larkin Society journal that </w:t>
            </w:r>
            <w:proofErr w:type="gramStart"/>
            <w:r>
              <w:rPr>
                <w:sz w:val="20"/>
                <w:szCs w:val="20"/>
              </w:rPr>
              <w:t>was written</w:t>
            </w:r>
            <w:proofErr w:type="gramEnd"/>
            <w:r>
              <w:rPr>
                <w:sz w:val="20"/>
                <w:szCs w:val="20"/>
              </w:rPr>
              <w:t xml:space="preserve"> by Maeve. Another left their shift so intrigued by Larkin and his Ties that he wrote to boots to seek out some further information about it – this one is rather a lovely reply letter, who knew Boots have an archivist! I have kept the originals for you to keep. </w:t>
            </w:r>
          </w:p>
        </w:tc>
      </w:tr>
      <w:tr w:rsidR="0092001C" w:rsidRPr="00B96E47" w:rsidTr="0090650C">
        <w:trPr>
          <w:trHeight w:val="1079"/>
        </w:trPr>
        <w:tc>
          <w:tcPr>
            <w:tcW w:w="1134" w:type="dxa"/>
            <w:shd w:val="clear" w:color="auto" w:fill="FFFFFF" w:themeFill="background1"/>
            <w:vAlign w:val="center"/>
          </w:tcPr>
          <w:p w:rsidR="0092001C" w:rsidRDefault="0092001C" w:rsidP="00FC3E9A">
            <w:pPr>
              <w:jc w:val="center"/>
            </w:pPr>
            <w:r>
              <w:t>Enquiries</w:t>
            </w:r>
          </w:p>
        </w:tc>
        <w:tc>
          <w:tcPr>
            <w:tcW w:w="6946" w:type="dxa"/>
            <w:gridSpan w:val="5"/>
            <w:shd w:val="clear" w:color="auto" w:fill="BDD6EE" w:themeFill="accent1" w:themeFillTint="66"/>
            <w:vAlign w:val="center"/>
          </w:tcPr>
          <w:p w:rsidR="0092001C" w:rsidRPr="00540494" w:rsidRDefault="0090650C" w:rsidP="00FC3E9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0650C">
              <w:rPr>
                <w:rFonts w:ascii="Calibri" w:hAnsi="Calibri"/>
                <w:sz w:val="21"/>
                <w:szCs w:val="21"/>
              </w:rPr>
              <w:t xml:space="preserve">Was Philip Larkin a member of the Film Society? The person asking worked for the BFI Institute and particularly interested in the period 1972-1973, return email to: </w:t>
            </w:r>
            <w:r w:rsidRPr="0090650C">
              <w:rPr>
                <w:rFonts w:ascii="Calibri" w:hAnsi="Calibri"/>
                <w:color w:val="000000"/>
                <w:shd w:val="clear" w:color="auto" w:fill="FFFFFF"/>
              </w:rPr>
              <w:t>vin.harrop@tiscali.co.uk</w:t>
            </w:r>
          </w:p>
        </w:tc>
      </w:tr>
      <w:tr w:rsidR="00B96E47" w:rsidRPr="00B96E47" w:rsidTr="004E7856">
        <w:trPr>
          <w:trHeight w:val="1560"/>
        </w:trPr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B96E47" w:rsidRDefault="00B96E47" w:rsidP="00FC3E9A">
            <w:pPr>
              <w:jc w:val="center"/>
            </w:pPr>
            <w:r>
              <w:t>Technical issues/ Security issues</w:t>
            </w:r>
          </w:p>
        </w:tc>
        <w:tc>
          <w:tcPr>
            <w:tcW w:w="6946" w:type="dxa"/>
            <w:gridSpan w:val="5"/>
            <w:shd w:val="clear" w:color="auto" w:fill="BDD6EE" w:themeFill="accent1" w:themeFillTint="66"/>
            <w:vAlign w:val="center"/>
          </w:tcPr>
          <w:p w:rsidR="00B96E47" w:rsidRPr="0090650C" w:rsidRDefault="0090650C" w:rsidP="00FC3E9A">
            <w:pPr>
              <w:rPr>
                <w:rFonts w:ascii="Calibri" w:hAnsi="Calibri"/>
                <w:color w:val="000000"/>
                <w:sz w:val="21"/>
                <w:szCs w:val="21"/>
              </w:rPr>
            </w:pPr>
            <w:r w:rsidRPr="0090650C">
              <w:rPr>
                <w:rFonts w:ascii="Calibri" w:hAnsi="Calibri"/>
                <w:color w:val="000000"/>
                <w:sz w:val="21"/>
                <w:szCs w:val="21"/>
              </w:rPr>
              <w:t>This</w:t>
            </w:r>
            <w:r w:rsidR="009F4115" w:rsidRPr="0090650C">
              <w:rPr>
                <w:rFonts w:ascii="Calibri" w:hAnsi="Calibri"/>
                <w:color w:val="000000"/>
                <w:sz w:val="21"/>
                <w:szCs w:val="21"/>
              </w:rPr>
              <w:t xml:space="preserve"> week the Larkin exhibit has been </w:t>
            </w:r>
            <w:proofErr w:type="spellStart"/>
            <w:r w:rsidR="009F4115" w:rsidRPr="0090650C">
              <w:rPr>
                <w:rFonts w:ascii="Calibri" w:hAnsi="Calibri"/>
                <w:color w:val="000000"/>
                <w:sz w:val="21"/>
                <w:szCs w:val="21"/>
              </w:rPr>
              <w:t>papped</w:t>
            </w:r>
            <w:proofErr w:type="spellEnd"/>
            <w:r w:rsidR="009F4115" w:rsidRPr="0090650C">
              <w:rPr>
                <w:rFonts w:ascii="Calibri" w:hAnsi="Calibri"/>
                <w:color w:val="000000"/>
                <w:sz w:val="21"/>
                <w:szCs w:val="21"/>
              </w:rPr>
              <w:t xml:space="preserve"> in the Library Induction video </w:t>
            </w:r>
            <w:r w:rsidRPr="0090650C">
              <w:rPr>
                <w:rFonts w:ascii="Calibri" w:hAnsi="Calibri"/>
                <w:color w:val="000000"/>
                <w:sz w:val="21"/>
                <w:szCs w:val="21"/>
              </w:rPr>
              <w:t xml:space="preserve">(fast forward to 4.23) </w:t>
            </w:r>
            <w:hyperlink r:id="rId10" w:history="1">
              <w:r w:rsidR="009F4115" w:rsidRPr="0090650C">
                <w:rPr>
                  <w:rStyle w:val="Hyperlink"/>
                  <w:rFonts w:ascii="Calibri" w:hAnsi="Calibri"/>
                  <w:sz w:val="21"/>
                  <w:szCs w:val="21"/>
                </w:rPr>
                <w:t>http://www.hull.ac.uk/Choose-Hull/Study-at-Hull/Library/induction/index.aspx</w:t>
              </w:r>
            </w:hyperlink>
          </w:p>
          <w:p w:rsidR="009F4115" w:rsidRPr="0090650C" w:rsidRDefault="009F4115" w:rsidP="0090650C">
            <w:pPr>
              <w:rPr>
                <w:rFonts w:ascii="Calibri" w:hAnsi="Calibri"/>
                <w:color w:val="000000"/>
                <w:sz w:val="21"/>
                <w:szCs w:val="21"/>
              </w:rPr>
            </w:pPr>
            <w:r w:rsidRPr="0090650C">
              <w:rPr>
                <w:rFonts w:ascii="Calibri" w:hAnsi="Calibri"/>
                <w:color w:val="000000"/>
                <w:sz w:val="21"/>
                <w:szCs w:val="21"/>
              </w:rPr>
              <w:t xml:space="preserve">Are there any problems with this? </w:t>
            </w:r>
            <w:r w:rsidR="0090650C" w:rsidRPr="0090650C">
              <w:rPr>
                <w:rFonts w:ascii="Calibri" w:hAnsi="Calibri"/>
                <w:color w:val="000000"/>
                <w:sz w:val="21"/>
                <w:szCs w:val="21"/>
              </w:rPr>
              <w:t xml:space="preserve">Apologies, I was not aware this was the case until it was public. </w:t>
            </w:r>
          </w:p>
        </w:tc>
      </w:tr>
      <w:tr w:rsidR="00B96E47" w:rsidRPr="00B96E47" w:rsidTr="004E7856">
        <w:trPr>
          <w:trHeight w:val="548"/>
        </w:trPr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B96E47" w:rsidRDefault="00B96E47" w:rsidP="00FC3E9A"/>
        </w:tc>
        <w:tc>
          <w:tcPr>
            <w:tcW w:w="6946" w:type="dxa"/>
            <w:gridSpan w:val="5"/>
            <w:shd w:val="clear" w:color="auto" w:fill="BDD6EE" w:themeFill="accent1" w:themeFillTint="66"/>
            <w:vAlign w:val="center"/>
          </w:tcPr>
          <w:p w:rsidR="00B96E47" w:rsidRPr="0090650C" w:rsidRDefault="0090650C" w:rsidP="00B04383">
            <w:pPr>
              <w:bidi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90650C">
              <w:rPr>
                <w:rFonts w:ascii="Calibri" w:hAnsi="Calibri"/>
                <w:color w:val="000000"/>
                <w:sz w:val="21"/>
                <w:szCs w:val="21"/>
              </w:rPr>
              <w:t xml:space="preserve">Theatre style lighting is continuing to need bulbs due their life span. Requests in place and maintenance team looking to attend Monday. </w:t>
            </w:r>
          </w:p>
        </w:tc>
      </w:tr>
      <w:tr w:rsidR="00B96E47" w:rsidRPr="00B96E47" w:rsidTr="0090650C">
        <w:trPr>
          <w:trHeight w:val="832"/>
        </w:trPr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B96E47" w:rsidRDefault="00B96E47" w:rsidP="00FC3E9A"/>
        </w:tc>
        <w:tc>
          <w:tcPr>
            <w:tcW w:w="6946" w:type="dxa"/>
            <w:gridSpan w:val="5"/>
            <w:shd w:val="clear" w:color="auto" w:fill="BDD6EE" w:themeFill="accent1" w:themeFillTint="66"/>
            <w:vAlign w:val="center"/>
          </w:tcPr>
          <w:p w:rsidR="00B96E47" w:rsidRPr="0090650C" w:rsidRDefault="00540494" w:rsidP="009F4115">
            <w:pPr>
              <w:rPr>
                <w:rFonts w:ascii="Calibri" w:hAnsi="Calibri"/>
                <w:color w:val="000000"/>
                <w:sz w:val="21"/>
                <w:szCs w:val="21"/>
              </w:rPr>
            </w:pPr>
            <w:r w:rsidRPr="0090650C">
              <w:rPr>
                <w:rFonts w:ascii="Calibri" w:hAnsi="Calibri"/>
                <w:color w:val="000000"/>
                <w:sz w:val="21"/>
                <w:szCs w:val="21"/>
              </w:rPr>
              <w:t>Still pushin</w:t>
            </w:r>
            <w:bookmarkStart w:id="0" w:name="_GoBack"/>
            <w:bookmarkEnd w:id="0"/>
            <w:r w:rsidRPr="0090650C">
              <w:rPr>
                <w:rFonts w:ascii="Calibri" w:hAnsi="Calibri"/>
                <w:color w:val="000000"/>
                <w:sz w:val="21"/>
                <w:szCs w:val="21"/>
              </w:rPr>
              <w:t xml:space="preserve">g for de-install costs. </w:t>
            </w:r>
            <w:r w:rsidR="0090650C" w:rsidRPr="0090650C">
              <w:rPr>
                <w:rFonts w:ascii="Calibri" w:hAnsi="Calibri"/>
                <w:color w:val="000000"/>
                <w:sz w:val="21"/>
                <w:szCs w:val="21"/>
              </w:rPr>
              <w:t>Requests for maintenance team to attend on the 3</w:t>
            </w:r>
            <w:r w:rsidR="0090650C" w:rsidRPr="0090650C">
              <w:rPr>
                <w:rFonts w:ascii="Calibri" w:hAnsi="Calibri"/>
                <w:color w:val="000000"/>
                <w:sz w:val="21"/>
                <w:szCs w:val="21"/>
                <w:vertAlign w:val="superscript"/>
              </w:rPr>
              <w:t>rd</w:t>
            </w:r>
            <w:r w:rsidR="0090650C" w:rsidRPr="0090650C">
              <w:rPr>
                <w:rFonts w:ascii="Calibri" w:hAnsi="Calibri"/>
                <w:color w:val="000000"/>
                <w:sz w:val="21"/>
                <w:szCs w:val="21"/>
              </w:rPr>
              <w:t xml:space="preserve"> &amp; 4</w:t>
            </w:r>
            <w:r w:rsidR="0090650C" w:rsidRPr="0090650C">
              <w:rPr>
                <w:rFonts w:ascii="Calibri" w:hAnsi="Calibri"/>
                <w:color w:val="000000"/>
                <w:sz w:val="21"/>
                <w:szCs w:val="21"/>
                <w:vertAlign w:val="superscript"/>
              </w:rPr>
              <w:t>th</w:t>
            </w:r>
            <w:r w:rsidR="0090650C" w:rsidRPr="0090650C">
              <w:rPr>
                <w:rFonts w:ascii="Calibri" w:hAnsi="Calibri"/>
                <w:color w:val="000000"/>
                <w:sz w:val="21"/>
                <w:szCs w:val="21"/>
              </w:rPr>
              <w:t xml:space="preserve"> October are in place. </w:t>
            </w:r>
          </w:p>
        </w:tc>
      </w:tr>
    </w:tbl>
    <w:p w:rsidR="000014F3" w:rsidRPr="002A4BCB" w:rsidRDefault="000014F3" w:rsidP="00C15B76">
      <w:pPr>
        <w:rPr>
          <w:sz w:val="18"/>
          <w:szCs w:val="18"/>
        </w:rPr>
      </w:pPr>
    </w:p>
    <w:sectPr w:rsidR="000014F3" w:rsidRPr="002A4BCB" w:rsidSect="002A4BCB">
      <w:headerReference w:type="default" r:id="rId11"/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BCB" w:rsidRDefault="002A4BCB" w:rsidP="002A4BCB">
      <w:r>
        <w:separator/>
      </w:r>
    </w:p>
  </w:endnote>
  <w:endnote w:type="continuationSeparator" w:id="0">
    <w:p w:rsidR="002A4BCB" w:rsidRDefault="002A4BCB" w:rsidP="002A4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BCB" w:rsidRDefault="002A4BCB" w:rsidP="002A4BCB">
      <w:r>
        <w:separator/>
      </w:r>
    </w:p>
  </w:footnote>
  <w:footnote w:type="continuationSeparator" w:id="0">
    <w:p w:rsidR="002A4BCB" w:rsidRDefault="002A4BCB" w:rsidP="002A4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BCB" w:rsidRPr="00FC3E9A" w:rsidRDefault="00FC3E9A" w:rsidP="002A4BCB">
    <w:pPr>
      <w:pStyle w:val="Heading1"/>
      <w:jc w:val="center"/>
      <w:rPr>
        <w:sz w:val="24"/>
        <w:szCs w:val="24"/>
        <w:u w:val="single"/>
      </w:rPr>
    </w:pPr>
    <w:r w:rsidRPr="00FC3E9A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48AD3295" wp14:editId="377A5F50">
          <wp:simplePos x="0" y="0"/>
          <wp:positionH relativeFrom="margin">
            <wp:align>left</wp:align>
          </wp:positionH>
          <wp:positionV relativeFrom="paragraph">
            <wp:posOffset>39370</wp:posOffset>
          </wp:positionV>
          <wp:extent cx="859790" cy="435610"/>
          <wp:effectExtent l="0" t="0" r="0" b="2540"/>
          <wp:wrapTight wrapText="bothSides">
            <wp:wrapPolygon edited="0">
              <wp:start x="0" y="0"/>
              <wp:lineTo x="0" y="20781"/>
              <wp:lineTo x="21058" y="20781"/>
              <wp:lineTo x="21058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oH_new__logo_black_No-bo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979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C3E9A">
      <w:rPr>
        <w:sz w:val="24"/>
        <w:szCs w:val="24"/>
        <w:u w:val="single"/>
      </w:rPr>
      <w:t xml:space="preserve"> </w:t>
    </w:r>
    <w:r w:rsidR="002A4BCB" w:rsidRPr="00FC3E9A">
      <w:rPr>
        <w:sz w:val="24"/>
        <w:szCs w:val="24"/>
        <w:u w:val="single"/>
      </w:rPr>
      <w:t>Weekly Report – Larkin Exhibition: New Eyes Each Year</w:t>
    </w:r>
  </w:p>
  <w:p w:rsidR="002A4BCB" w:rsidRDefault="002A4B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D67CA"/>
    <w:multiLevelType w:val="hybridMultilevel"/>
    <w:tmpl w:val="FDEA9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93721"/>
    <w:multiLevelType w:val="hybridMultilevel"/>
    <w:tmpl w:val="36642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FE7779"/>
    <w:multiLevelType w:val="hybridMultilevel"/>
    <w:tmpl w:val="6F628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46788D"/>
    <w:multiLevelType w:val="hybridMultilevel"/>
    <w:tmpl w:val="0B68F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0B0824"/>
    <w:multiLevelType w:val="hybridMultilevel"/>
    <w:tmpl w:val="2098D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AC4"/>
    <w:rsid w:val="000014F3"/>
    <w:rsid w:val="002A4BCB"/>
    <w:rsid w:val="002D6EDD"/>
    <w:rsid w:val="00300D36"/>
    <w:rsid w:val="003A401B"/>
    <w:rsid w:val="004E7856"/>
    <w:rsid w:val="00540494"/>
    <w:rsid w:val="00586CCF"/>
    <w:rsid w:val="005E755C"/>
    <w:rsid w:val="005F5209"/>
    <w:rsid w:val="007E7B9C"/>
    <w:rsid w:val="0090650C"/>
    <w:rsid w:val="0092001C"/>
    <w:rsid w:val="009B6340"/>
    <w:rsid w:val="009F4115"/>
    <w:rsid w:val="00B04383"/>
    <w:rsid w:val="00B96E47"/>
    <w:rsid w:val="00C15B76"/>
    <w:rsid w:val="00D26AC4"/>
    <w:rsid w:val="00DD3044"/>
    <w:rsid w:val="00F77BC7"/>
    <w:rsid w:val="00FC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8B40B"/>
  <w15:chartTrackingRefBased/>
  <w15:docId w15:val="{68DB114B-4B06-4547-894A-BCF403DA4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6A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75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6A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D26A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26AC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26AC4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E755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5E75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4B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4BCB"/>
  </w:style>
  <w:style w:type="paragraph" w:styleId="Footer">
    <w:name w:val="footer"/>
    <w:basedOn w:val="Normal"/>
    <w:link w:val="FooterChar"/>
    <w:uiPriority w:val="99"/>
    <w:unhideWhenUsed/>
    <w:rsid w:val="002A4B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4BCB"/>
  </w:style>
  <w:style w:type="paragraph" w:styleId="NoSpacing">
    <w:name w:val="No Spacing"/>
    <w:uiPriority w:val="1"/>
    <w:qFormat/>
    <w:rsid w:val="00FC3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7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Gc3B91pmU3u8jCmyk8KScT2jwH1my3OWZVTFlrmlSZw/edit?usp=sharin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hull.ac.uk/Choose-Hull/Study-at-Hull/Library/induction/index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niversityofhull.box.com/s/jrn3dj2a8o1ng4bfjdzxj9sw2sani84o" TargetMode="Externa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F5F4FB59-1ACF-4AED-B95D-BD0E9E5F14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5D7D3B-F956-4FDF-9AC1-8F32CBA60AA3}"/>
</file>

<file path=customXml/itemProps3.xml><?xml version="1.0" encoding="utf-8"?>
<ds:datastoreItem xmlns:ds="http://schemas.openxmlformats.org/officeDocument/2006/customXml" ds:itemID="{6C88D0F7-C228-418A-B624-E34D741436B4}"/>
</file>

<file path=customXml/itemProps4.xml><?xml version="1.0" encoding="utf-8"?>
<ds:datastoreItem xmlns:ds="http://schemas.openxmlformats.org/officeDocument/2006/customXml" ds:itemID="{28E00555-719F-4493-8CEE-4CACBEDD83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Hull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McIlveen</dc:creator>
  <cp:keywords/>
  <dc:description/>
  <cp:lastModifiedBy>Kathryn McIlveen</cp:lastModifiedBy>
  <cp:revision>3</cp:revision>
  <dcterms:created xsi:type="dcterms:W3CDTF">2017-09-17T17:13:00Z</dcterms:created>
  <dcterms:modified xsi:type="dcterms:W3CDTF">2017-09-17T17:21:00Z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