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jc w:val="center"/>
      </w:pPr>
      <w:r w:rsidDel="00000000" w:rsidR="00000000" w:rsidRPr="00000000">
        <w:rPr>
          <w:b w:val="1"/>
          <w:sz w:val="24"/>
          <w:szCs w:val="24"/>
          <w:rtl w:val="0"/>
        </w:rPr>
        <w:t xml:space="preserve">PHILIP LARKIN TOUR</w:t>
      </w:r>
    </w:p>
    <w:p w:rsidR="00000000" w:rsidDel="00000000" w:rsidP="00000000" w:rsidRDefault="00000000" w:rsidRPr="00000000">
      <w:pPr>
        <w:ind w:right="-285"/>
        <w:contextualSpacing w:val="0"/>
        <w:jc w:val="center"/>
      </w:pPr>
      <w:r w:rsidDel="00000000" w:rsidR="00000000" w:rsidRPr="00000000">
        <w:rPr>
          <w:b w:val="1"/>
          <w:sz w:val="20"/>
          <w:szCs w:val="20"/>
          <w:rtl w:val="0"/>
        </w:rPr>
        <w:t xml:space="preserve">----------------------------------------------------------------------------------------------------------------------------------------------</w:t>
      </w:r>
    </w:p>
    <w:p w:rsidR="00000000" w:rsidDel="00000000" w:rsidP="00000000" w:rsidRDefault="00000000" w:rsidRPr="00000000">
      <w:pPr>
        <w:ind w:right="-285"/>
        <w:contextualSpacing w:val="0"/>
        <w:jc w:val="center"/>
      </w:pPr>
      <w:r w:rsidDel="00000000" w:rsidR="00000000" w:rsidRPr="00000000">
        <w:rPr>
          <w:b w:val="1"/>
          <w:color w:val="ff0000"/>
          <w:rtl w:val="0"/>
        </w:rPr>
        <w:t xml:space="preserve">START EAST ENTRANCE</w:t>
      </w:r>
      <w:r w:rsidDel="00000000" w:rsidR="00000000" w:rsidRPr="00000000">
        <w:rPr>
          <w:b w:val="1"/>
          <w:rtl w:val="0"/>
        </w:rPr>
        <w:t xml:space="preserve"> at the Larkin Trail Plaque </w:t>
      </w:r>
      <w:r w:rsidDel="00000000" w:rsidR="00000000" w:rsidRPr="00000000">
        <w:rPr>
          <w:sz w:val="20"/>
          <w:szCs w:val="20"/>
          <w:rtl w:val="0"/>
        </w:rPr>
        <w:t xml:space="preserve">(if weather OK)</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This</w:t>
      </w:r>
      <w:r w:rsidDel="00000000" w:rsidR="00000000" w:rsidRPr="00000000">
        <w:rPr>
          <w:b w:val="1"/>
          <w:sz w:val="20"/>
          <w:szCs w:val="20"/>
          <w:rtl w:val="0"/>
        </w:rPr>
        <w:t xml:space="preserve"> </w:t>
      </w:r>
      <w:r w:rsidDel="00000000" w:rsidR="00000000" w:rsidRPr="00000000">
        <w:rPr>
          <w:sz w:val="20"/>
          <w:szCs w:val="20"/>
          <w:rtl w:val="0"/>
        </w:rPr>
        <w:t xml:space="preserve">gives a summary of Larkin’s time as Librarian here.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sculpture above the door named </w:t>
      </w:r>
      <w:r w:rsidDel="00000000" w:rsidR="00000000" w:rsidRPr="00000000">
        <w:rPr>
          <w:b w:val="1"/>
          <w:sz w:val="20"/>
          <w:szCs w:val="20"/>
          <w:rtl w:val="0"/>
        </w:rPr>
        <w:t xml:space="preserve">‘The Genius of Light’</w:t>
      </w:r>
      <w:r w:rsidDel="00000000" w:rsidR="00000000" w:rsidRPr="00000000">
        <w:rPr>
          <w:sz w:val="20"/>
          <w:szCs w:val="20"/>
          <w:rtl w:val="0"/>
        </w:rPr>
        <w:t xml:space="preserve"> by Willi Soukop is original to the building. There is also an owl sculpture which Larkin preferred by the same artist around the left side of the building that you can look at later on. (Photos of these on the montage)</w:t>
      </w:r>
    </w:p>
    <w:p w:rsidR="00000000" w:rsidDel="00000000" w:rsidP="00000000" w:rsidRDefault="00000000" w:rsidRPr="00000000">
      <w:pPr>
        <w:ind w:right="-285"/>
        <w:contextualSpacing w:val="0"/>
        <w:jc w:val="center"/>
      </w:pPr>
      <w:r w:rsidDel="00000000" w:rsidR="00000000" w:rsidRPr="00000000">
        <w:rPr>
          <w:b w:val="1"/>
          <w:sz w:val="20"/>
          <w:szCs w:val="20"/>
          <w:rtl w:val="0"/>
        </w:rPr>
        <w:t xml:space="preserve">----------------------------------------------------------------------------------------------------------------------------------------------</w:t>
      </w:r>
    </w:p>
    <w:p w:rsidR="00000000" w:rsidDel="00000000" w:rsidP="00000000" w:rsidRDefault="00000000" w:rsidRPr="00000000">
      <w:pPr>
        <w:ind w:right="-285"/>
        <w:contextualSpacing w:val="0"/>
        <w:jc w:val="center"/>
      </w:pPr>
      <w:r w:rsidDel="00000000" w:rsidR="00000000" w:rsidRPr="00000000">
        <w:rPr>
          <w:b w:val="1"/>
          <w:color w:val="ff0000"/>
          <w:sz w:val="24"/>
          <w:szCs w:val="24"/>
          <w:rtl w:val="0"/>
        </w:rPr>
        <w:t xml:space="preserve">GROUND FLOOR</w:t>
      </w:r>
    </w:p>
    <w:p w:rsidR="00000000" w:rsidDel="00000000" w:rsidP="00000000" w:rsidRDefault="00000000" w:rsidRPr="00000000">
      <w:pPr>
        <w:ind w:right="-285"/>
        <w:contextualSpacing w:val="0"/>
        <w:jc w:val="center"/>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b w:val="1"/>
          <w:rtl w:val="0"/>
        </w:rPr>
        <w:t xml:space="preserve">East main door near lightwell….</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Welcome to the Brynmor Jones Library.</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Philip Larkin was appointed librarian on 21 March 1955 and remained here until his death in December 1985, aged 63.</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 </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He was born </w:t>
      </w:r>
      <w:r w:rsidDel="00000000" w:rsidR="00000000" w:rsidRPr="00000000">
        <w:rPr>
          <w:sz w:val="20"/>
          <w:szCs w:val="20"/>
          <w:rtl w:val="0"/>
        </w:rPr>
        <w:t xml:space="preserve">Philip Arthur Larkin in Coventry on 9 August 1922, to Sydney and Eva Larkin.</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Larkin failed his army medical as a result of poor eyesight, enabling him to </w:t>
      </w:r>
      <w:r w:rsidDel="00000000" w:rsidR="00000000" w:rsidRPr="00000000">
        <w:rPr>
          <w:sz w:val="20"/>
          <w:szCs w:val="20"/>
          <w:rtl w:val="0"/>
        </w:rPr>
        <w:t xml:space="preserve">study at Oxford, gaining a First Class Honours degree in English in 1943.</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His first poem to be published in a national weekly was </w:t>
      </w:r>
      <w:r w:rsidDel="00000000" w:rsidR="00000000" w:rsidRPr="00000000">
        <w:rPr>
          <w:b w:val="1"/>
          <w:i w:val="1"/>
          <w:sz w:val="20"/>
          <w:szCs w:val="20"/>
          <w:rtl w:val="0"/>
        </w:rPr>
        <w:t xml:space="preserve">Ultimatum</w:t>
      </w:r>
      <w:r w:rsidDel="00000000" w:rsidR="00000000" w:rsidRPr="00000000">
        <w:rPr>
          <w:i w:val="1"/>
          <w:sz w:val="20"/>
          <w:szCs w:val="20"/>
          <w:rtl w:val="0"/>
        </w:rPr>
        <w:t xml:space="preserve"> </w:t>
      </w:r>
      <w:r w:rsidDel="00000000" w:rsidR="00000000" w:rsidRPr="00000000">
        <w:rPr>
          <w:sz w:val="20"/>
          <w:szCs w:val="20"/>
          <w:rtl w:val="0"/>
        </w:rPr>
        <w:t xml:space="preserve">in The Listener</w:t>
      </w:r>
      <w:r w:rsidDel="00000000" w:rsidR="00000000" w:rsidRPr="00000000">
        <w:rPr>
          <w:i w:val="1"/>
          <w:sz w:val="20"/>
          <w:szCs w:val="20"/>
          <w:rtl w:val="0"/>
        </w:rPr>
        <w:t xml:space="preserve">, </w:t>
      </w:r>
      <w:r w:rsidDel="00000000" w:rsidR="00000000" w:rsidRPr="00000000">
        <w:rPr>
          <w:sz w:val="20"/>
          <w:szCs w:val="20"/>
          <w:rtl w:val="0"/>
        </w:rPr>
        <w:t xml:space="preserve">on the 28th November 1940.</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In 1984 Larkin was offered the poet laureateship however, he refused it because he felt that he couldn’t face the pressures of the position.</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b w:val="1"/>
          <w:rtl w:val="0"/>
        </w:rPr>
        <w:t xml:space="preserve">Building History...</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We are now standing in the original building which was constructed </w:t>
      </w:r>
      <w:r w:rsidDel="00000000" w:rsidR="00000000" w:rsidRPr="00000000">
        <w:rPr>
          <w:sz w:val="20"/>
          <w:szCs w:val="20"/>
          <w:highlight w:val="yellow"/>
          <w:rtl w:val="0"/>
        </w:rPr>
        <w:t xml:space="preserve">between 1958-1959</w:t>
      </w:r>
      <w:r w:rsidDel="00000000" w:rsidR="00000000" w:rsidRPr="00000000">
        <w:rPr>
          <w:sz w:val="20"/>
          <w:szCs w:val="20"/>
          <w:rtl w:val="0"/>
        </w:rPr>
        <w:t xml:space="preserve">.  The tower block extension was completed in </w:t>
      </w:r>
      <w:r w:rsidDel="00000000" w:rsidR="00000000" w:rsidRPr="00000000">
        <w:rPr>
          <w:sz w:val="20"/>
          <w:szCs w:val="20"/>
          <w:highlight w:val="yellow"/>
          <w:rtl w:val="0"/>
        </w:rPr>
        <w:t xml:space="preserve">1969</w:t>
      </w:r>
      <w:r w:rsidDel="00000000" w:rsidR="00000000" w:rsidRPr="00000000">
        <w:rPr>
          <w:sz w:val="20"/>
          <w:szCs w:val="20"/>
          <w:rtl w:val="0"/>
        </w:rPr>
        <w:t xml:space="preserve">.  The Library has recently had a 28 million pound redevelopment to make it better suited to the needs of the 21 st century student.  However, this is still the library that was planned and built during Larkin’s time as Librarian and many original features still remain.</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  </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original 1959 building was officially opened by the Queen Mother in 1960 and the tower block extension by Lord Cohen of Birkenhead in 1970.</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It was renamed the Brynmor Jones Library in </w:t>
      </w:r>
      <w:r w:rsidDel="00000000" w:rsidR="00000000" w:rsidRPr="00000000">
        <w:rPr>
          <w:sz w:val="20"/>
          <w:szCs w:val="20"/>
          <w:highlight w:val="yellow"/>
          <w:rtl w:val="0"/>
        </w:rPr>
        <w:t xml:space="preserve">1967</w:t>
      </w:r>
      <w:r w:rsidDel="00000000" w:rsidR="00000000" w:rsidRPr="00000000">
        <w:rPr>
          <w:sz w:val="20"/>
          <w:szCs w:val="20"/>
          <w:rtl w:val="0"/>
        </w:rPr>
        <w:t xml:space="preserve"> after Sir Brynmor Jones, who was Vice-Chancellor from 1956–1972. </w:t>
      </w:r>
      <w:r w:rsidDel="00000000" w:rsidR="00000000" w:rsidRPr="00000000">
        <w:rPr>
          <w:b w:val="1"/>
          <w:sz w:val="20"/>
          <w:szCs w:val="20"/>
          <w:rtl w:val="0"/>
        </w:rPr>
        <w:t xml:space="preserve">Portrait. </w:t>
      </w:r>
      <w:r w:rsidDel="00000000" w:rsidR="00000000" w:rsidRPr="00000000">
        <w:rPr>
          <w:sz w:val="20"/>
          <w:szCs w:val="20"/>
          <w:rtl w:val="0"/>
        </w:rPr>
        <w:t xml:space="preserve">Sir Brynmor was born near Wrexham, in north Wales and Larkin, </w:t>
      </w:r>
      <w:r w:rsidDel="00000000" w:rsidR="00000000" w:rsidRPr="00000000">
        <w:rPr>
          <w:sz w:val="20"/>
          <w:szCs w:val="20"/>
          <w:highlight w:val="yellow"/>
          <w:rtl w:val="0"/>
        </w:rPr>
        <w:t xml:space="preserve">an accomplished mimic</w:t>
      </w:r>
      <w:r w:rsidDel="00000000" w:rsidR="00000000" w:rsidRPr="00000000">
        <w:rPr>
          <w:sz w:val="20"/>
          <w:szCs w:val="20"/>
          <w:rtl w:val="0"/>
        </w:rPr>
        <w:t xml:space="preserve">, loved to do impressions of his Welsh accent. For example, at the opening of the first phase, Jones, introduced Larkin to the Queen Mother with the words, </w:t>
      </w:r>
      <w:r w:rsidDel="00000000" w:rsidR="00000000" w:rsidRPr="00000000">
        <w:rPr>
          <w:b w:val="1"/>
          <w:sz w:val="20"/>
          <w:szCs w:val="20"/>
          <w:rtl w:val="0"/>
        </w:rPr>
        <w:t xml:space="preserve">“This is Mr Larkin, our poet-librarian.”</w:t>
      </w:r>
      <w:r w:rsidDel="00000000" w:rsidR="00000000" w:rsidRPr="00000000">
        <w:rPr>
          <w:sz w:val="20"/>
          <w:szCs w:val="20"/>
          <w:rtl w:val="0"/>
        </w:rPr>
        <w:t xml:space="preserve"> </w:t>
      </w:r>
      <w:r w:rsidDel="00000000" w:rsidR="00000000" w:rsidRPr="00000000">
        <w:rPr>
          <w:b w:val="1"/>
          <w:sz w:val="20"/>
          <w:szCs w:val="20"/>
          <w:rtl w:val="0"/>
        </w:rPr>
        <w:t xml:space="preserve">“</w:t>
      </w:r>
      <w:r w:rsidDel="00000000" w:rsidR="00000000" w:rsidRPr="00000000">
        <w:rPr>
          <w:b w:val="1"/>
          <w:sz w:val="20"/>
          <w:szCs w:val="20"/>
          <w:highlight w:val="yellow"/>
          <w:rtl w:val="0"/>
        </w:rPr>
        <w:t xml:space="preserve">Oh, what a lovely thing to be</w:t>
      </w:r>
      <w:r w:rsidDel="00000000" w:rsidR="00000000" w:rsidRPr="00000000">
        <w:rPr>
          <w:b w:val="1"/>
          <w:sz w:val="20"/>
          <w:szCs w:val="20"/>
          <w:rtl w:val="0"/>
        </w:rPr>
        <w:t xml:space="preserve">!”</w:t>
      </w:r>
      <w:r w:rsidDel="00000000" w:rsidR="00000000" w:rsidRPr="00000000">
        <w:rPr>
          <w:sz w:val="20"/>
          <w:szCs w:val="20"/>
          <w:rtl w:val="0"/>
        </w:rPr>
        <w:t xml:space="preserve">’ replied Her Majesty.  For some time afterwards, his imitation of this exchange was one of his favourites.</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light-well immediately above us (on First Floor) is an original feature, as is the skylight.</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light-well on the Second Floor replaces the original square light-well that was blocked up many years ago. It was decided to reopen it when the building was renovated. To make it match the other one as far as possible the ironwork was specially made.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rtl w:val="0"/>
        </w:rPr>
        <w:t xml:space="preserve">Art Gallery…</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University Art Collection was founded in 1963. This new gallery was created in the library as part of the renovation.</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Larkin donated money towards the purchase of the sculpture </w:t>
      </w:r>
      <w:r w:rsidDel="00000000" w:rsidR="00000000" w:rsidRPr="00000000">
        <w:rPr>
          <w:sz w:val="20"/>
          <w:szCs w:val="20"/>
          <w:rtl w:val="0"/>
        </w:rPr>
        <w:t xml:space="preserve">Cornucopia by Frank Dobson. You are welcome to have a look around the gallery in more detail after the tour.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***NEW***</w:t>
      </w:r>
      <w:r w:rsidDel="00000000" w:rsidR="00000000" w:rsidRPr="00000000">
        <w:rPr>
          <w:sz w:val="20"/>
          <w:szCs w:val="20"/>
          <w:rtl w:val="0"/>
        </w:rPr>
        <w:t xml:space="preserve"> The </w:t>
      </w:r>
      <w:r w:rsidDel="00000000" w:rsidR="00000000" w:rsidRPr="00000000">
        <w:rPr>
          <w:b w:val="1"/>
          <w:sz w:val="20"/>
          <w:szCs w:val="20"/>
          <w:rtl w:val="0"/>
        </w:rPr>
        <w:t xml:space="preserve">Larkin Toad</w:t>
      </w:r>
      <w:r w:rsidDel="00000000" w:rsidR="00000000" w:rsidRPr="00000000">
        <w:rPr>
          <w:sz w:val="20"/>
          <w:szCs w:val="20"/>
          <w:rtl w:val="0"/>
        </w:rPr>
        <w:t xml:space="preserve">. Commemorates 30th anniversary of his death. For 25th anniversary, toads like this were decorated by different organisations and placed around the area. The toads relate to Larkin’s 1955 poem </w:t>
      </w:r>
      <w:r w:rsidDel="00000000" w:rsidR="00000000" w:rsidRPr="00000000">
        <w:rPr>
          <w:b w:val="1"/>
          <w:sz w:val="20"/>
          <w:szCs w:val="20"/>
          <w:rtl w:val="0"/>
        </w:rPr>
        <w:t xml:space="preserve">Toads</w:t>
      </w:r>
      <w:r w:rsidDel="00000000" w:rsidR="00000000" w:rsidRPr="00000000">
        <w:rPr>
          <w:sz w:val="20"/>
          <w:szCs w:val="20"/>
          <w:rtl w:val="0"/>
        </w:rPr>
        <w:t xml:space="preserve">: “</w:t>
      </w:r>
      <w:r w:rsidDel="00000000" w:rsidR="00000000" w:rsidRPr="00000000">
        <w:rPr>
          <w:i w:val="1"/>
          <w:sz w:val="20"/>
          <w:szCs w:val="20"/>
          <w:rtl w:val="0"/>
        </w:rPr>
        <w:t xml:space="preserve">Why should I let the toad work / Squat on my life</w:t>
      </w:r>
      <w:r w:rsidDel="00000000" w:rsidR="00000000" w:rsidRPr="00000000">
        <w:rPr>
          <w:sz w:val="20"/>
          <w:szCs w:val="20"/>
          <w:rtl w:val="0"/>
        </w:rPr>
        <w:t xml:space="preserve">.” By the time he published </w:t>
      </w:r>
      <w:r w:rsidDel="00000000" w:rsidR="00000000" w:rsidRPr="00000000">
        <w:rPr>
          <w:b w:val="1"/>
          <w:sz w:val="20"/>
          <w:szCs w:val="20"/>
          <w:rtl w:val="0"/>
        </w:rPr>
        <w:t xml:space="preserve">Toads revisited</w:t>
      </w:r>
      <w:r w:rsidDel="00000000" w:rsidR="00000000" w:rsidRPr="00000000">
        <w:rPr>
          <w:sz w:val="20"/>
          <w:szCs w:val="20"/>
          <w:rtl w:val="0"/>
        </w:rPr>
        <w:t xml:space="preserve"> in 1964, he had changed his mind: work helped make sense of life, he found: </w:t>
      </w:r>
      <w:r w:rsidDel="00000000" w:rsidR="00000000" w:rsidRPr="00000000">
        <w:rPr>
          <w:i w:val="1"/>
          <w:sz w:val="20"/>
          <w:szCs w:val="20"/>
          <w:rtl w:val="0"/>
        </w:rPr>
        <w:t xml:space="preserve">"Give me your arm, old toad / Help me down Cemetery Road."</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rtl w:val="0"/>
        </w:rPr>
        <w:t xml:space="preserve">1833 Albion Printing Press…</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Purchased in the late 1970s and used in 1979 to print a limited edition of the </w:t>
      </w:r>
      <w:r w:rsidDel="00000000" w:rsidR="00000000" w:rsidRPr="00000000">
        <w:rPr>
          <w:sz w:val="20"/>
          <w:szCs w:val="20"/>
          <w:rtl w:val="0"/>
        </w:rPr>
        <w:t xml:space="preserve">poem “ New Eyes Each Year”.  This is the poem written to commemorate 50th anniversary of the library’s founding, part of which we saw earlier on the </w:t>
      </w:r>
      <w:r w:rsidDel="00000000" w:rsidR="00000000" w:rsidRPr="00000000">
        <w:rPr>
          <w:b w:val="1"/>
          <w:i w:val="1"/>
          <w:sz w:val="20"/>
          <w:szCs w:val="20"/>
          <w:rtl w:val="0"/>
        </w:rPr>
        <w:t xml:space="preserve">Larkin trail plaque</w:t>
      </w:r>
      <w:r w:rsidDel="00000000" w:rsidR="00000000" w:rsidRPr="00000000">
        <w:rPr>
          <w:sz w:val="20"/>
          <w:szCs w:val="20"/>
          <w:rtl w:val="0"/>
        </w:rPr>
        <w:t xml:space="preserv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It was last used to print invitations to the opening of the Philip Larkin Suite (the home of the university </w:t>
      </w:r>
      <w:r w:rsidDel="00000000" w:rsidR="00000000" w:rsidRPr="00000000">
        <w:rPr>
          <w:sz w:val="20"/>
          <w:szCs w:val="20"/>
          <w:rtl w:val="0"/>
        </w:rPr>
        <w:t xml:space="preserve">archives before they moved to the History Centre) by Douglas Dunn in 1987. There is a copy which you can see on display here. </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pStyle w:val="Title"/>
        <w:ind w:right="-285"/>
        <w:contextualSpacing w:val="0"/>
        <w:jc w:val="center"/>
      </w:pPr>
      <w:bookmarkStart w:colFirst="0" w:colLast="0" w:name="_pbntethy0ll6" w:id="0"/>
      <w:bookmarkEnd w:id="0"/>
      <w:r w:rsidDel="00000000" w:rsidR="00000000" w:rsidRPr="00000000">
        <w:rPr>
          <w:rFonts w:ascii="Arial" w:cs="Arial" w:eastAsia="Arial" w:hAnsi="Arial"/>
          <w:b w:val="1"/>
          <w:color w:val="ff0000"/>
          <w:sz w:val="24"/>
          <w:szCs w:val="24"/>
          <w:rtl w:val="0"/>
        </w:rPr>
        <w:t xml:space="preserve">1st FLOOR</w:t>
      </w:r>
      <w:r w:rsidDel="00000000" w:rsidR="00000000" w:rsidRPr="00000000">
        <w:rPr>
          <w:rtl w:val="0"/>
        </w:rPr>
      </w:r>
    </w:p>
    <w:p w:rsidR="00000000" w:rsidDel="00000000" w:rsidP="00000000" w:rsidRDefault="00000000" w:rsidRPr="00000000">
      <w:pPr>
        <w:pStyle w:val="Title"/>
        <w:ind w:right="-285"/>
        <w:contextualSpacing w:val="0"/>
      </w:pPr>
      <w:bookmarkStart w:colFirst="0" w:colLast="0" w:name="_78fmccmd9vs4" w:id="1"/>
      <w:bookmarkEnd w:id="1"/>
      <w:r w:rsidDel="00000000" w:rsidR="00000000" w:rsidRPr="00000000">
        <w:rPr>
          <w:rFonts w:ascii="Arial" w:cs="Arial" w:eastAsia="Arial" w:hAnsi="Arial"/>
          <w:b w:val="1"/>
          <w:sz w:val="22"/>
          <w:szCs w:val="22"/>
          <w:rtl w:val="0"/>
        </w:rPr>
        <w:t xml:space="preserve">Librarian’s office…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Larkin wrote to his mother,</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i w:val="1"/>
          <w:sz w:val="20"/>
          <w:szCs w:val="20"/>
          <w:rtl w:val="0"/>
        </w:rPr>
        <w:t xml:space="preserve">“My room is so beautiful I can hardly believe it. I’m afraid it will make everyone so green with jealousy that I shall be the most hated person in Hull.”</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This has been the office of the Librarian since 1959, when this part of the Library was completed.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It was used by Larkin from </w:t>
      </w:r>
      <w:r w:rsidDel="00000000" w:rsidR="00000000" w:rsidRPr="00000000">
        <w:rPr>
          <w:sz w:val="20"/>
          <w:szCs w:val="20"/>
          <w:highlight w:val="yellow"/>
          <w:rtl w:val="0"/>
        </w:rPr>
        <w:t xml:space="preserve">1959</w:t>
      </w:r>
      <w:r w:rsidDel="00000000" w:rsidR="00000000" w:rsidRPr="00000000">
        <w:rPr>
          <w:sz w:val="20"/>
          <w:szCs w:val="20"/>
          <w:rtl w:val="0"/>
        </w:rPr>
        <w:t xml:space="preserve"> until his death in </w:t>
      </w:r>
      <w:r w:rsidDel="00000000" w:rsidR="00000000" w:rsidRPr="00000000">
        <w:rPr>
          <w:sz w:val="20"/>
          <w:szCs w:val="20"/>
          <w:highlight w:val="yellow"/>
          <w:rtl w:val="0"/>
        </w:rPr>
        <w:t xml:space="preserve">1985.</w:t>
      </w:r>
      <w:r w:rsidDel="00000000" w:rsidR="00000000" w:rsidRPr="00000000">
        <w:rPr>
          <w:sz w:val="20"/>
          <w:szCs w:val="20"/>
          <w:rtl w:val="0"/>
        </w:rPr>
        <w:t xml:space="preserve">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After Larkin’s death, his secretary,</w:t>
      </w:r>
      <w:r w:rsidDel="00000000" w:rsidR="00000000" w:rsidRPr="00000000">
        <w:rPr>
          <w:sz w:val="20"/>
          <w:szCs w:val="20"/>
          <w:highlight w:val="yellow"/>
          <w:rtl w:val="0"/>
        </w:rPr>
        <w:t xml:space="preserve"> Betty Mackereth</w:t>
      </w:r>
      <w:r w:rsidDel="00000000" w:rsidR="00000000" w:rsidRPr="00000000">
        <w:rPr>
          <w:sz w:val="20"/>
          <w:szCs w:val="20"/>
          <w:rtl w:val="0"/>
        </w:rPr>
        <w:t xml:space="preserve"> (with whom he had a secret love affair), shredded the thirteen volumes of his diary in this office, in accordance with his wishes</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Show pictures of what remains in the office original to Larkin </w:t>
      </w:r>
      <w:r w:rsidDel="00000000" w:rsidR="00000000" w:rsidRPr="00000000">
        <w:rPr>
          <w:i w:val="1"/>
          <w:sz w:val="20"/>
          <w:szCs w:val="20"/>
          <w:rtl w:val="0"/>
        </w:rPr>
        <w:t xml:space="preserve">(photo montage)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Frog money box (</w:t>
      </w:r>
      <w:r w:rsidDel="00000000" w:rsidR="00000000" w:rsidRPr="00000000">
        <w:rPr>
          <w:sz w:val="20"/>
          <w:szCs w:val="20"/>
          <w:rtl w:val="0"/>
        </w:rPr>
        <w:t xml:space="preserve">inspiration of </w:t>
      </w:r>
      <w:r w:rsidDel="00000000" w:rsidR="00000000" w:rsidRPr="00000000">
        <w:rPr>
          <w:i w:val="1"/>
          <w:sz w:val="20"/>
          <w:szCs w:val="20"/>
          <w:rtl w:val="0"/>
        </w:rPr>
        <w:t xml:space="preserve">Toads </w:t>
      </w:r>
      <w:r w:rsidDel="00000000" w:rsidR="00000000" w:rsidRPr="00000000">
        <w:rPr>
          <w:sz w:val="20"/>
          <w:szCs w:val="20"/>
          <w:rtl w:val="0"/>
        </w:rPr>
        <w:t xml:space="preserve">poem -- Toads are more sinister</w:t>
      </w:r>
      <w:r w:rsidDel="00000000" w:rsidR="00000000" w:rsidRPr="00000000">
        <w:rPr>
          <w:b w:val="1"/>
          <w:sz w:val="20"/>
          <w:szCs w:val="20"/>
          <w:rtl w:val="0"/>
        </w:rPr>
        <w:t xml:space="preserve">), pictures of Oxford and Cambridge, librarian sign, glasses, bookshelf, Guy the gorilla, original fireplace, desk </w:t>
      </w:r>
      <w:r w:rsidDel="00000000" w:rsidR="00000000" w:rsidRPr="00000000">
        <w:rPr>
          <w:sz w:val="20"/>
          <w:szCs w:val="20"/>
          <w:rtl w:val="0"/>
        </w:rPr>
        <w:t xml:space="preserve">(</w:t>
      </w:r>
      <w:r w:rsidDel="00000000" w:rsidR="00000000" w:rsidRPr="00000000">
        <w:rPr>
          <w:i w:val="1"/>
          <w:sz w:val="20"/>
          <w:szCs w:val="20"/>
          <w:rtl w:val="0"/>
        </w:rPr>
        <w:t xml:space="preserve">larger than</w:t>
      </w:r>
      <w:r w:rsidDel="00000000" w:rsidR="00000000" w:rsidRPr="00000000">
        <w:rPr>
          <w:sz w:val="20"/>
          <w:szCs w:val="20"/>
          <w:rtl w:val="0"/>
        </w:rPr>
        <w:t xml:space="preserve"> </w:t>
      </w:r>
      <w:r w:rsidDel="00000000" w:rsidR="00000000" w:rsidRPr="00000000">
        <w:rPr>
          <w:i w:val="1"/>
          <w:sz w:val="20"/>
          <w:szCs w:val="20"/>
          <w:rtl w:val="0"/>
        </w:rPr>
        <w:t xml:space="preserve">that </w:t>
      </w:r>
      <w:r w:rsidDel="00000000" w:rsidR="00000000" w:rsidRPr="00000000">
        <w:rPr>
          <w:sz w:val="20"/>
          <w:szCs w:val="20"/>
          <w:rtl w:val="0"/>
        </w:rPr>
        <w:t xml:space="preserve">of </w:t>
      </w:r>
      <w:r w:rsidDel="00000000" w:rsidR="00000000" w:rsidRPr="00000000">
        <w:rPr>
          <w:i w:val="1"/>
          <w:sz w:val="20"/>
          <w:szCs w:val="20"/>
          <w:rtl w:val="0"/>
        </w:rPr>
        <w:t xml:space="preserve">President Kennedy</w:t>
      </w:r>
      <w:r w:rsidDel="00000000" w:rsidR="00000000" w:rsidRPr="00000000">
        <w:rPr>
          <w:sz w:val="20"/>
          <w:szCs w:val="20"/>
          <w:rtl w:val="0"/>
        </w:rPr>
        <w:t xml:space="preserve"> he remarked).</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b w:val="1"/>
          <w:sz w:val="20"/>
          <w:szCs w:val="20"/>
          <w:rtl w:val="0"/>
        </w:rPr>
        <w:t xml:space="preserve">----------------------------------------------------------------------------------------------------------------------------------------------</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pStyle w:val="Title"/>
        <w:spacing w:line="240" w:lineRule="auto"/>
        <w:ind w:right="-285"/>
        <w:contextualSpacing w:val="0"/>
        <w:jc w:val="center"/>
      </w:pPr>
      <w:bookmarkStart w:colFirst="0" w:colLast="0" w:name="_pdnokp8rpdx" w:id="2"/>
      <w:bookmarkEnd w:id="2"/>
      <w:r w:rsidDel="00000000" w:rsidR="00000000" w:rsidRPr="00000000">
        <w:rPr>
          <w:rFonts w:ascii="Arial" w:cs="Arial" w:eastAsia="Arial" w:hAnsi="Arial"/>
          <w:b w:val="1"/>
          <w:color w:val="ff0000"/>
          <w:sz w:val="24"/>
          <w:szCs w:val="24"/>
          <w:rtl w:val="0"/>
        </w:rPr>
        <w:t xml:space="preserve">7th FLOOR</w:t>
      </w:r>
    </w:p>
    <w:p w:rsidR="00000000" w:rsidDel="00000000" w:rsidP="00000000" w:rsidRDefault="00000000" w:rsidRPr="00000000">
      <w:pPr>
        <w:pStyle w:val="Title"/>
        <w:spacing w:line="240" w:lineRule="auto"/>
        <w:ind w:right="-285"/>
        <w:contextualSpacing w:val="0"/>
        <w:jc w:val="center"/>
      </w:pPr>
      <w:bookmarkStart w:colFirst="0" w:colLast="0" w:name="_ur6nvsjou16t" w:id="3"/>
      <w:bookmarkEnd w:id="3"/>
      <w:r w:rsidDel="00000000" w:rsidR="00000000" w:rsidRPr="00000000">
        <w:rPr>
          <w:rFonts w:ascii="Arial" w:cs="Arial" w:eastAsia="Arial" w:hAnsi="Arial"/>
          <w:sz w:val="20"/>
          <w:szCs w:val="20"/>
          <w:rtl w:val="0"/>
        </w:rPr>
        <w:t xml:space="preserve">(use map for reference if cloudy)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Landscape of ‘Larkin land’ (Moving from East Staircase, around the floor to West Staircase)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Larkin developed a deep appreciation of Hull and its surrounding area, writing..</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i w:val="1"/>
          <w:sz w:val="20"/>
          <w:szCs w:val="20"/>
          <w:rtl w:val="0"/>
        </w:rPr>
        <w:t xml:space="preserve">“</w:t>
      </w:r>
      <w:r w:rsidDel="00000000" w:rsidR="00000000" w:rsidRPr="00000000">
        <w:rPr>
          <w:b w:val="1"/>
          <w:i w:val="1"/>
          <w:sz w:val="20"/>
          <w:szCs w:val="20"/>
          <w:rtl w:val="0"/>
        </w:rPr>
        <w:t xml:space="preserve">People are slow to leave, quick to return. And there are others who come, as they think, for a year or two, and stay a lifetime, sensing that they have found a city that is in the world, yet sufficiently on the edge of it to have a different resonance.”</w:t>
      </w:r>
      <w:r w:rsidDel="00000000" w:rsidR="00000000" w:rsidRPr="00000000">
        <w:rPr>
          <w:b w:val="1"/>
          <w:sz w:val="20"/>
          <w:szCs w:val="20"/>
          <w:rtl w:val="0"/>
        </w:rPr>
        <w:t xml:space="preserve"> </w:t>
      </w:r>
      <w:r w:rsidDel="00000000" w:rsidR="00000000" w:rsidRPr="00000000">
        <w:rPr>
          <w:sz w:val="20"/>
          <w:szCs w:val="20"/>
          <w:rtl w:val="0"/>
        </w:rPr>
        <w:t xml:space="preserve">(Introduction to </w:t>
      </w:r>
      <w:r w:rsidDel="00000000" w:rsidR="00000000" w:rsidRPr="00000000">
        <w:rPr>
          <w:i w:val="1"/>
          <w:sz w:val="20"/>
          <w:szCs w:val="20"/>
          <w:rtl w:val="0"/>
        </w:rPr>
        <w:t xml:space="preserve">A rumoured city</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color w:val="ff0000"/>
          <w:sz w:val="20"/>
          <w:szCs w:val="20"/>
          <w:highlight w:val="white"/>
          <w:u w:val="single"/>
          <w:rtl w:val="0"/>
        </w:rPr>
        <w:t xml:space="preserve">SOUTH SIDE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u w:val="single"/>
          <w:rtl w:val="0"/>
        </w:rPr>
        <w:t xml:space="preserve">Spurn Head/Point</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Larkin, who found Spurn’s remoteness magnetic, often cycled out here, writing... </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i w:val="1"/>
          <w:sz w:val="20"/>
          <w:szCs w:val="20"/>
          <w:highlight w:val="white"/>
          <w:rtl w:val="0"/>
        </w:rPr>
        <w:t xml:space="preserve">“</w:t>
      </w:r>
      <w:r w:rsidDel="00000000" w:rsidR="00000000" w:rsidRPr="00000000">
        <w:rPr>
          <w:b w:val="1"/>
          <w:i w:val="1"/>
          <w:sz w:val="20"/>
          <w:szCs w:val="20"/>
          <w:highlight w:val="white"/>
          <w:rtl w:val="0"/>
        </w:rPr>
        <w:t xml:space="preserve">Behind Hull is the plain of Holderness, lonelier and lonelier, and after that the birds and lights of Spurn Head, and then the sea.” </w:t>
      </w: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u w:val="single"/>
          <w:rtl w:val="0"/>
        </w:rPr>
        <w:t xml:space="preserve">Cohen</w:t>
      </w:r>
      <w:r w:rsidDel="00000000" w:rsidR="00000000" w:rsidRPr="00000000">
        <w:rPr>
          <w:sz w:val="20"/>
          <w:szCs w:val="20"/>
          <w:highlight w:val="white"/>
          <w:u w:val="single"/>
          <w:rtl w:val="0"/>
        </w:rPr>
        <w:t xml:space="preserve"> </w:t>
      </w:r>
      <w:r w:rsidDel="00000000" w:rsidR="00000000" w:rsidRPr="00000000">
        <w:rPr>
          <w:b w:val="1"/>
          <w:sz w:val="20"/>
          <w:szCs w:val="20"/>
          <w:highlight w:val="white"/>
          <w:u w:val="single"/>
          <w:rtl w:val="0"/>
        </w:rPr>
        <w:t xml:space="preserve">Building</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(Look for rows of dormer windows.) </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This was the original home of the university library. Larkin spent four years here, much of it working on plans for the new library. The library move started on 2nd September 1959 and was finished by mid September.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u w:val="single"/>
          <w:rtl w:val="0"/>
        </w:rPr>
        <w:t xml:space="preserve">Hull Royal Infirmary </w:t>
      </w:r>
      <w:r w:rsidDel="00000000" w:rsidR="00000000" w:rsidRPr="00000000">
        <w:rPr>
          <w:sz w:val="20"/>
          <w:szCs w:val="20"/>
          <w:highlight w:val="white"/>
          <w:rtl w:val="0"/>
        </w:rPr>
        <w:t xml:space="preserve">(Tallest building in Hull according to Wikipedia, for Larkin a reminder of mortality) </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This was built in 1967. In later life he was a patient there on a number of occasions. Larkin’s poem about it, </w:t>
      </w:r>
      <w:r w:rsidDel="00000000" w:rsidR="00000000" w:rsidRPr="00000000">
        <w:rPr>
          <w:sz w:val="20"/>
          <w:szCs w:val="20"/>
          <w:rtl w:val="0"/>
        </w:rPr>
        <w:t xml:space="preserve">“</w:t>
      </w:r>
      <w:r w:rsidDel="00000000" w:rsidR="00000000" w:rsidRPr="00000000">
        <w:rPr>
          <w:b w:val="1"/>
          <w:i w:val="1"/>
          <w:sz w:val="20"/>
          <w:szCs w:val="20"/>
          <w:rtl w:val="0"/>
        </w:rPr>
        <w:t xml:space="preserve">The Building” </w:t>
      </w:r>
      <w:r w:rsidDel="00000000" w:rsidR="00000000" w:rsidRPr="00000000">
        <w:rPr>
          <w:sz w:val="20"/>
          <w:szCs w:val="20"/>
          <w:rtl w:val="0"/>
        </w:rPr>
        <w:t xml:space="preserve">appeared in</w:t>
      </w:r>
      <w:r w:rsidDel="00000000" w:rsidR="00000000" w:rsidRPr="00000000">
        <w:rPr>
          <w:sz w:val="20"/>
          <w:szCs w:val="20"/>
          <w:rtl w:val="0"/>
        </w:rPr>
        <w:t xml:space="preserve"> High Windows in 1974.</w:t>
      </w: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b w:val="1"/>
          <w:i w:val="1"/>
          <w:sz w:val="20"/>
          <w:szCs w:val="20"/>
          <w:highlight w:val="white"/>
          <w:rtl w:val="0"/>
        </w:rPr>
        <w:t xml:space="preserve">“Higher than the handsomest hotel The lucent comb shows up for miles.”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u w:val="single"/>
          <w:rtl w:val="0"/>
        </w:rPr>
        <w:t xml:space="preserve">Old Grey Mare pub </w:t>
      </w:r>
      <w:r w:rsidDel="00000000" w:rsidR="00000000" w:rsidRPr="00000000">
        <w:rPr>
          <w:sz w:val="20"/>
          <w:szCs w:val="20"/>
          <w:highlight w:val="white"/>
          <w:rtl w:val="0"/>
        </w:rPr>
        <w:t xml:space="preserve">(Across Cottingham Road from University main entrance) </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After attending lectures and readings in Middleton Hall, Larkin would walk over with his friends and colleagues for drinks and conversation at what was then called the Newland Park Hotel.</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highlight w:val="white"/>
          <w:u w:val="single"/>
          <w:rtl w:val="0"/>
        </w:rPr>
        <w:t xml:space="preserve">Larkin Building</w:t>
      </w:r>
      <w:r w:rsidDel="00000000" w:rsidR="00000000" w:rsidRPr="00000000">
        <w:rPr>
          <w:sz w:val="20"/>
          <w:szCs w:val="20"/>
          <w:highlight w:val="white"/>
          <w:rtl w:val="0"/>
        </w:rPr>
        <w:t xml:space="preserve"> (Look for solar panels on roof)</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Previously the Arts Building it was renamed the Larkin building after his death.</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285"/>
        <w:contextualSpacing w:val="0"/>
        <w:jc w:val="center"/>
      </w:pPr>
      <w:r w:rsidDel="00000000" w:rsidR="00000000" w:rsidRPr="00000000">
        <w:rPr>
          <w:b w:val="1"/>
          <w:highlight w:val="white"/>
          <w:u w:val="single"/>
          <w:rtl w:val="0"/>
        </w:rPr>
        <w:t xml:space="preserve">Attic flat of 32 Pearson Park 1956-1974</w:t>
      </w:r>
      <w:r w:rsidDel="00000000" w:rsidR="00000000" w:rsidRPr="00000000">
        <w:rPr>
          <w:b w:val="1"/>
          <w:sz w:val="20"/>
          <w:szCs w:val="20"/>
          <w:highlight w:val="white"/>
          <w:u w:val="single"/>
          <w:rtl w:val="0"/>
        </w:rPr>
        <w:t xml:space="preserve"> </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285"/>
        <w:contextualSpacing w:val="0"/>
        <w:jc w:val="left"/>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rtl w:val="0"/>
        </w:rPr>
        <w:t xml:space="preserve">His friend Jean Hartley remembered</w:t>
      </w:r>
      <w:r w:rsidDel="00000000" w:rsidR="00000000" w:rsidRPr="00000000">
        <w:rPr>
          <w:i w:val="1"/>
          <w:sz w:val="20"/>
          <w:szCs w:val="20"/>
          <w:rtl w:val="0"/>
        </w:rPr>
        <w:t xml:space="preserve">,</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b w:val="1"/>
          <w:i w:val="1"/>
          <w:sz w:val="20"/>
          <w:szCs w:val="20"/>
          <w:rtl w:val="0"/>
        </w:rPr>
        <w:t xml:space="preserve">“He said that he had always lived at the top of buildings and that it pleased him to do so. It was the perfect place for a man of his temperament, one who loved to look out at the world but who wanted complete control over who could look back at him.”</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rtl w:val="0"/>
        </w:rPr>
        <w:t xml:space="preserve">It was during this time, and partly in this flat, that Larkin’s relationship with colleague </w:t>
      </w:r>
      <w:r w:rsidDel="00000000" w:rsidR="00000000" w:rsidRPr="00000000">
        <w:rPr>
          <w:sz w:val="20"/>
          <w:szCs w:val="20"/>
          <w:highlight w:val="yellow"/>
          <w:rtl w:val="0"/>
        </w:rPr>
        <w:t xml:space="preserve">Maeve Brennan,</w:t>
      </w:r>
      <w:r w:rsidDel="00000000" w:rsidR="00000000" w:rsidRPr="00000000">
        <w:rPr>
          <w:sz w:val="20"/>
          <w:szCs w:val="20"/>
          <w:rtl w:val="0"/>
        </w:rPr>
        <w:t xml:space="preserve"> who he was helping to prepare for her Library Association exams, developed into a love affair. Maeve left some of her jewellery to the library, that was given to her by Larkin. </w:t>
      </w:r>
      <w:r w:rsidDel="00000000" w:rsidR="00000000" w:rsidRPr="00000000">
        <w:rPr>
          <w:i w:val="1"/>
          <w:sz w:val="20"/>
          <w:szCs w:val="20"/>
          <w:rtl w:val="0"/>
        </w:rPr>
        <w:t xml:space="preserve">See photo montage - necklace with picture of Larkin</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jc w:val="center"/>
      </w:pPr>
      <w:r w:rsidDel="00000000" w:rsidR="00000000" w:rsidRPr="00000000">
        <w:rPr>
          <w:b w:val="1"/>
          <w:u w:val="single"/>
          <w:rtl w:val="0"/>
        </w:rPr>
        <w:t xml:space="preserve">105 Newland Park</w:t>
      </w:r>
    </w:p>
    <w:p w:rsidR="00000000" w:rsidDel="00000000" w:rsidP="00000000" w:rsidRDefault="00000000" w:rsidRPr="00000000">
      <w:pPr>
        <w:spacing w:line="240" w:lineRule="auto"/>
        <w:ind w:left="0" w:right="-285" w:firstLine="0"/>
        <w:contextualSpacing w:val="0"/>
        <w:jc w:val="center"/>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rtl w:val="0"/>
        </w:rPr>
        <w:t xml:space="preserve">Larkin bought this house in 1974 when he had to move out of his Pearson Park flat. He never liked the house but lived there until his death in 1985. </w:t>
      </w:r>
      <w:r w:rsidDel="00000000" w:rsidR="00000000" w:rsidRPr="00000000">
        <w:rPr>
          <w:sz w:val="20"/>
          <w:szCs w:val="20"/>
          <w:highlight w:val="yellow"/>
          <w:rtl w:val="0"/>
        </w:rPr>
        <w:t xml:space="preserve">Monica Jones</w:t>
      </w:r>
      <w:r w:rsidDel="00000000" w:rsidR="00000000" w:rsidRPr="00000000">
        <w:rPr>
          <w:sz w:val="20"/>
          <w:szCs w:val="20"/>
          <w:rtl w:val="0"/>
        </w:rPr>
        <w:t xml:space="preserve">, his longest-lasting love interest, moved in with him in </w:t>
      </w:r>
      <w:r w:rsidDel="00000000" w:rsidR="00000000" w:rsidRPr="00000000">
        <w:rPr>
          <w:sz w:val="20"/>
          <w:szCs w:val="20"/>
          <w:highlight w:val="yellow"/>
          <w:rtl w:val="0"/>
        </w:rPr>
        <w:t xml:space="preserve">1983</w:t>
      </w:r>
      <w:r w:rsidDel="00000000" w:rsidR="00000000" w:rsidRPr="00000000">
        <w:rPr>
          <w:sz w:val="20"/>
          <w:szCs w:val="20"/>
          <w:rtl w:val="0"/>
        </w:rPr>
        <w:t xml:space="preserve">.  She was in poor health at the time, but outlived Larkin and stayed in the house until her </w:t>
      </w:r>
      <w:r w:rsidDel="00000000" w:rsidR="00000000" w:rsidRPr="00000000">
        <w:rPr>
          <w:sz w:val="20"/>
          <w:szCs w:val="20"/>
          <w:highlight w:val="yellow"/>
          <w:rtl w:val="0"/>
        </w:rPr>
        <w:t xml:space="preserve">death in 2001</w:t>
      </w:r>
      <w:r w:rsidDel="00000000" w:rsidR="00000000" w:rsidRPr="00000000">
        <w:rPr>
          <w:sz w:val="20"/>
          <w:szCs w:val="20"/>
          <w:rtl w:val="0"/>
        </w:rPr>
        <w:t xml:space="preserve">.</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rtl w:val="0"/>
        </w:rPr>
        <w:t xml:space="preserve">Larkin wrote very little poetry during this final period of his life. There is a Larkin trail plaque at the west end of Newland Park, opposite the university’s west entrance, it quotes </w:t>
      </w:r>
      <w:r w:rsidDel="00000000" w:rsidR="00000000" w:rsidRPr="00000000">
        <w:rPr>
          <w:b w:val="1"/>
          <w:sz w:val="20"/>
          <w:szCs w:val="20"/>
          <w:rtl w:val="0"/>
        </w:rPr>
        <w:t xml:space="preserve">“</w:t>
      </w:r>
      <w:r w:rsidDel="00000000" w:rsidR="00000000" w:rsidRPr="00000000">
        <w:rPr>
          <w:b w:val="1"/>
          <w:i w:val="1"/>
          <w:sz w:val="20"/>
          <w:szCs w:val="20"/>
          <w:highlight w:val="yellow"/>
          <w:rtl w:val="0"/>
        </w:rPr>
        <w:t xml:space="preserve">The Mower”</w:t>
      </w:r>
      <w:r w:rsidDel="00000000" w:rsidR="00000000" w:rsidRPr="00000000">
        <w:rPr>
          <w:b w:val="1"/>
          <w:i w:val="1"/>
          <w:sz w:val="20"/>
          <w:szCs w:val="20"/>
          <w:rtl w:val="0"/>
        </w:rPr>
        <w:t xml:space="preserve">. </w:t>
      </w:r>
      <w:r w:rsidDel="00000000" w:rsidR="00000000" w:rsidRPr="00000000">
        <w:rPr>
          <w:sz w:val="20"/>
          <w:szCs w:val="20"/>
          <w:rtl w:val="0"/>
        </w:rPr>
        <w:t xml:space="preserve">This is a poem Larkin wrote which refers to the occasion in June 1979 when he accidentally killed a hedgehog that was hidden in the long grass with his lawnmower.</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jc w:val="center"/>
      </w:pPr>
      <w:r w:rsidDel="00000000" w:rsidR="00000000" w:rsidRPr="00000000">
        <w:rPr>
          <w:b w:val="1"/>
          <w:sz w:val="20"/>
          <w:szCs w:val="20"/>
          <w:highlight w:val="white"/>
          <w:u w:val="single"/>
          <w:rtl w:val="0"/>
        </w:rPr>
        <w:t xml:space="preserve">253 Hull Road, Hessle</w:t>
      </w:r>
      <w:r w:rsidDel="00000000" w:rsidR="00000000" w:rsidRPr="00000000">
        <w:rPr>
          <w:sz w:val="20"/>
          <w:szCs w:val="20"/>
          <w:highlight w:val="white"/>
          <w:rtl w:val="0"/>
        </w:rPr>
        <w:t xml:space="preserve"> (Looking further south, towards the Humber, block of flats direction) </w:t>
      </w:r>
    </w:p>
    <w:p w:rsidR="00000000" w:rsidDel="00000000" w:rsidP="00000000" w:rsidRDefault="00000000" w:rsidRPr="00000000">
      <w:pPr>
        <w:spacing w:line="240" w:lineRule="auto"/>
        <w:ind w:left="0" w:right="-285" w:firstLine="0"/>
        <w:contextualSpacing w:val="0"/>
        <w:jc w:val="center"/>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highlight w:val="white"/>
          <w:rtl w:val="0"/>
        </w:rPr>
        <w:t xml:space="preserve">Home of the Marvell Press, publishers of Larkin’s 1955 breakthrough collection </w:t>
      </w:r>
      <w:r w:rsidDel="00000000" w:rsidR="00000000" w:rsidRPr="00000000">
        <w:rPr>
          <w:b w:val="1"/>
          <w:sz w:val="20"/>
          <w:szCs w:val="20"/>
          <w:highlight w:val="white"/>
          <w:rtl w:val="0"/>
        </w:rPr>
        <w:t xml:space="preserve">“</w:t>
      </w:r>
      <w:r w:rsidDel="00000000" w:rsidR="00000000" w:rsidRPr="00000000">
        <w:rPr>
          <w:b w:val="1"/>
          <w:i w:val="1"/>
          <w:sz w:val="20"/>
          <w:szCs w:val="20"/>
          <w:rtl w:val="0"/>
        </w:rPr>
        <w:t xml:space="preserve">The Less Deceived”</w:t>
      </w:r>
      <w:r w:rsidDel="00000000" w:rsidR="00000000" w:rsidRPr="00000000">
        <w:rPr>
          <w:b w:val="1"/>
          <w:sz w:val="20"/>
          <w:szCs w:val="20"/>
          <w:rtl w:val="0"/>
        </w:rPr>
        <w:t xml:space="preserve">. </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highlight w:val="white"/>
          <w:u w:val="single"/>
          <w:rtl w:val="0"/>
        </w:rPr>
        <w:t xml:space="preserve">Humber Bridge</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highlight w:val="white"/>
          <w:rtl w:val="0"/>
        </w:rPr>
        <w:t xml:space="preserve">Larkin wrote the text for a Anthony Hedges</w:t>
      </w:r>
      <w:r w:rsidDel="00000000" w:rsidR="00000000" w:rsidRPr="00000000">
        <w:rPr>
          <w:sz w:val="20"/>
          <w:szCs w:val="20"/>
          <w:rtl w:val="0"/>
        </w:rPr>
        <w:t xml:space="preserve">’ </w:t>
      </w:r>
      <w:r w:rsidDel="00000000" w:rsidR="00000000" w:rsidRPr="00000000">
        <w:rPr>
          <w:b w:val="1"/>
          <w:sz w:val="20"/>
          <w:szCs w:val="20"/>
          <w:rtl w:val="0"/>
        </w:rPr>
        <w:t xml:space="preserve">“</w:t>
      </w:r>
      <w:r w:rsidDel="00000000" w:rsidR="00000000" w:rsidRPr="00000000">
        <w:rPr>
          <w:b w:val="1"/>
          <w:i w:val="1"/>
          <w:sz w:val="20"/>
          <w:szCs w:val="20"/>
          <w:rtl w:val="0"/>
        </w:rPr>
        <w:t xml:space="preserve">Humberside Cantata: Bridge for the Living”</w:t>
      </w:r>
      <w:r w:rsidDel="00000000" w:rsidR="00000000" w:rsidRPr="00000000">
        <w:rPr>
          <w:b w:val="1"/>
          <w:sz w:val="20"/>
          <w:szCs w:val="20"/>
          <w:rtl w:val="0"/>
        </w:rPr>
        <w:t xml:space="preserve">,</w:t>
      </w:r>
      <w:r w:rsidDel="00000000" w:rsidR="00000000" w:rsidRPr="00000000">
        <w:rPr>
          <w:sz w:val="20"/>
          <w:szCs w:val="20"/>
          <w:highlight w:val="white"/>
          <w:rtl w:val="0"/>
        </w:rPr>
        <w:t xml:space="preserve"> to mark the bridge’s opening in 1981. He found writing for a commission difficult, one of the reasons he turned down the poet laureateship in 1984.</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b w:val="1"/>
          <w:color w:val="ff0000"/>
          <w:sz w:val="20"/>
          <w:szCs w:val="20"/>
          <w:u w:val="single"/>
          <w:rtl w:val="0"/>
        </w:rPr>
        <w:t xml:space="preserve">WEST SIDE</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u w:val="single"/>
          <w:rtl w:val="0"/>
        </w:rPr>
        <w:t xml:space="preserve">St Mary’s Church, Cottingham</w:t>
      </w:r>
      <w:r w:rsidDel="00000000" w:rsidR="00000000" w:rsidRPr="00000000">
        <w:rPr>
          <w:sz w:val="20"/>
          <w:szCs w:val="20"/>
          <w:highlight w:val="white"/>
          <w:rtl w:val="0"/>
        </w:rPr>
        <w:t xml:space="preserve"> (You need to be in the </w:t>
      </w:r>
      <w:r w:rsidDel="00000000" w:rsidR="00000000" w:rsidRPr="00000000">
        <w:rPr>
          <w:b w:val="1"/>
          <w:sz w:val="20"/>
          <w:szCs w:val="20"/>
          <w:highlight w:val="white"/>
          <w:rtl w:val="0"/>
        </w:rPr>
        <w:t xml:space="preserve">south-west corner</w:t>
      </w:r>
      <w:r w:rsidDel="00000000" w:rsidR="00000000" w:rsidRPr="00000000">
        <w:rPr>
          <w:sz w:val="20"/>
          <w:szCs w:val="20"/>
          <w:highlight w:val="white"/>
          <w:rtl w:val="0"/>
        </w:rPr>
        <w:t xml:space="preserve"> to see this.</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sz w:val="20"/>
          <w:szCs w:val="20"/>
          <w:highlight w:val="white"/>
          <w:rtl w:val="0"/>
        </w:rPr>
        <w:t xml:space="preserve"> Look above the polygonal Loxley Building and to the right, just below the horizon. You should be able to see the tower and white flagpole of St Mary’s)</w:t>
      </w:r>
    </w:p>
    <w:p w:rsidR="00000000" w:rsidDel="00000000" w:rsidP="00000000" w:rsidRDefault="00000000" w:rsidRPr="00000000">
      <w:pPr>
        <w:spacing w:line="240" w:lineRule="auto"/>
        <w:ind w:left="720" w:right="-285" w:firstLine="0"/>
        <w:contextualSpacing w:val="0"/>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sz w:val="20"/>
          <w:szCs w:val="20"/>
          <w:highlight w:val="white"/>
          <w:rtl w:val="0"/>
        </w:rPr>
        <w:t xml:space="preserve">Larkin’s funeral was held here, a week after his death. He is buried in Cottingham Municipal Cemetery on Eppleworth Road. His grave simply states</w:t>
      </w:r>
      <w:r w:rsidDel="00000000" w:rsidR="00000000" w:rsidRPr="00000000">
        <w:rPr>
          <w:b w:val="1"/>
          <w:highlight w:val="white"/>
          <w:rtl w:val="0"/>
        </w:rPr>
        <w:t xml:space="preserve"> “</w:t>
      </w:r>
      <w:r w:rsidDel="00000000" w:rsidR="00000000" w:rsidRPr="00000000">
        <w:rPr>
          <w:b w:val="1"/>
          <w:i w:val="1"/>
          <w:highlight w:val="yellow"/>
          <w:rtl w:val="0"/>
        </w:rPr>
        <w:t xml:space="preserve">Writer</w:t>
      </w:r>
      <w:r w:rsidDel="00000000" w:rsidR="00000000" w:rsidRPr="00000000">
        <w:rPr>
          <w:b w:val="1"/>
          <w:i w:val="1"/>
          <w:highlight w:val="white"/>
          <w:rtl w:val="0"/>
        </w:rPr>
        <w:t xml:space="preserve">”</w:t>
      </w:r>
      <w:r w:rsidDel="00000000" w:rsidR="00000000" w:rsidRPr="00000000">
        <w:rPr>
          <w:b w:val="1"/>
          <w:i w:val="1"/>
          <w:sz w:val="20"/>
          <w:szCs w:val="20"/>
          <w:highlight w:val="white"/>
          <w:rtl w:val="0"/>
        </w:rPr>
        <w:t xml:space="preserve">.</w:t>
      </w:r>
      <w:r w:rsidDel="00000000" w:rsidR="00000000" w:rsidRPr="00000000">
        <w:rPr>
          <w:sz w:val="20"/>
          <w:szCs w:val="20"/>
          <w:highlight w:val="white"/>
          <w:rtl w:val="0"/>
        </w:rPr>
        <w:t xml:space="preserve"> </w:t>
      </w:r>
    </w:p>
    <w:p w:rsidR="00000000" w:rsidDel="00000000" w:rsidP="00000000" w:rsidRDefault="00000000" w:rsidRPr="00000000">
      <w:pPr>
        <w:spacing w:line="240" w:lineRule="auto"/>
        <w:ind w:left="0" w:right="-285" w:firstLine="0"/>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highlight w:val="white"/>
          <w:u w:val="single"/>
          <w:rtl w:val="0"/>
        </w:rPr>
        <w:t xml:space="preserve">Beverley Minster</w:t>
      </w:r>
      <w:r w:rsidDel="00000000" w:rsidR="00000000" w:rsidRPr="00000000">
        <w:rPr>
          <w:sz w:val="20"/>
          <w:szCs w:val="20"/>
          <w:highlight w:val="white"/>
          <w:rtl w:val="0"/>
        </w:rPr>
        <w:t xml:space="preserve"> (Best seen from </w:t>
      </w:r>
      <w:r w:rsidDel="00000000" w:rsidR="00000000" w:rsidRPr="00000000">
        <w:rPr>
          <w:b w:val="1"/>
          <w:sz w:val="20"/>
          <w:szCs w:val="20"/>
          <w:highlight w:val="white"/>
          <w:rtl w:val="0"/>
        </w:rPr>
        <w:t xml:space="preserve">north-west corner </w:t>
      </w:r>
      <w:r w:rsidDel="00000000" w:rsidR="00000000" w:rsidRPr="00000000">
        <w:rPr>
          <w:sz w:val="20"/>
          <w:szCs w:val="20"/>
          <w:highlight w:val="white"/>
          <w:rtl w:val="0"/>
        </w:rPr>
        <w:t xml:space="preserve">on a clear day)</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left="0" w:right="-285" w:firstLine="0"/>
        <w:contextualSpacing w:val="0"/>
      </w:pPr>
      <w:r w:rsidDel="00000000" w:rsidR="00000000" w:rsidRPr="00000000">
        <w:rPr>
          <w:b w:val="1"/>
          <w:i w:val="1"/>
          <w:sz w:val="20"/>
          <w:szCs w:val="20"/>
          <w:highlight w:val="white"/>
          <w:rtl w:val="0"/>
        </w:rPr>
        <w:t xml:space="preserve">“I usually pedal miles and miles at the weekend, always winding up in the Beverley Arms for tea”</w:t>
      </w:r>
      <w:r w:rsidDel="00000000" w:rsidR="00000000" w:rsidRPr="00000000">
        <w:rPr>
          <w:sz w:val="20"/>
          <w:szCs w:val="20"/>
          <w:highlight w:val="white"/>
          <w:rtl w:val="0"/>
        </w:rPr>
        <w:t xml:space="preserve">, wrote Larkin in a letter in 1955.</w:t>
      </w: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highlight w:val="white"/>
          <w:u w:val="single"/>
          <w:rtl w:val="0"/>
        </w:rPr>
        <w:t xml:space="preserve">The</w:t>
      </w:r>
      <w:r w:rsidDel="00000000" w:rsidR="00000000" w:rsidRPr="00000000">
        <w:rPr>
          <w:highlight w:val="white"/>
          <w:u w:val="single"/>
          <w:rtl w:val="0"/>
        </w:rPr>
        <w:t xml:space="preserve"> </w:t>
      </w:r>
      <w:r w:rsidDel="00000000" w:rsidR="00000000" w:rsidRPr="00000000">
        <w:rPr>
          <w:b w:val="1"/>
          <w:highlight w:val="white"/>
          <w:u w:val="single"/>
          <w:rtl w:val="0"/>
        </w:rPr>
        <w:t xml:space="preserve">Beverley Arms</w:t>
      </w:r>
      <w:r w:rsidDel="00000000" w:rsidR="00000000" w:rsidRPr="00000000">
        <w:rPr>
          <w:highlight w:val="white"/>
          <w:u w:val="single"/>
          <w:rtl w:val="0"/>
        </w:rPr>
        <w:t xml:space="preserve"> </w:t>
      </w:r>
      <w:r w:rsidDel="00000000" w:rsidR="00000000" w:rsidRPr="00000000">
        <w:rPr>
          <w:sz w:val="20"/>
          <w:szCs w:val="20"/>
          <w:highlight w:val="white"/>
          <w:u w:val="single"/>
          <w:rtl w:val="0"/>
        </w:rPr>
        <w:t xml:space="preserve">(not visible!) </w:t>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This was Maeve Brennan and Larkin’s favourite place. In 1959, Larkin, in a fit of generosity, invited a dozen junior library staff to dinner there as a thank you for their work in making sure that the newly extended library was successful.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rtl w:val="0"/>
        </w:rPr>
      </w:r>
    </w:p>
    <w:p w:rsidR="00000000" w:rsidDel="00000000" w:rsidP="00000000" w:rsidRDefault="00000000" w:rsidRPr="00000000">
      <w:pPr>
        <w:spacing w:line="240" w:lineRule="auto"/>
        <w:ind w:right="-285"/>
        <w:contextualSpacing w:val="0"/>
        <w:jc w:val="center"/>
      </w:pPr>
      <w:r w:rsidDel="00000000" w:rsidR="00000000" w:rsidRPr="00000000">
        <w:rPr>
          <w:b w:val="1"/>
          <w:sz w:val="20"/>
          <w:szCs w:val="20"/>
          <w:highlight w:val="white"/>
          <w:rtl w:val="0"/>
        </w:rPr>
        <w:t xml:space="preserve">NATIONAL MEMORIAL TO PHILIP LARKIN</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Larkin died of cancer in 1985. A ledger-stone to him will be placed in Poets' Corner in Westminster Abbey on Friday 2nd December 2016, the 31st anniversary of his death.</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Professor Edwin Dawes, the Chairman of the Philip Larkin Society said:</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w:t>
      </w:r>
      <w:r w:rsidDel="00000000" w:rsidR="00000000" w:rsidRPr="00000000">
        <w:rPr>
          <w:b w:val="1"/>
          <w:i w:val="1"/>
          <w:sz w:val="20"/>
          <w:szCs w:val="20"/>
          <w:highlight w:val="white"/>
          <w:rtl w:val="0"/>
        </w:rPr>
        <w:t xml:space="preserve">We are delighted that in 2016 Larkin will take his place at the very cultural heart of the nation, in Westminster Abbey amongst Britain's greatest writers”.</w:t>
      </w:r>
      <w:r w:rsidDel="00000000" w:rsidR="00000000" w:rsidRPr="00000000">
        <w:rPr>
          <w:b w:val="1"/>
          <w:sz w:val="20"/>
          <w:szCs w:val="20"/>
          <w:highlight w:val="white"/>
          <w:rtl w:val="0"/>
        </w:rPr>
        <w:t xml:space="preserve"> </w:t>
      </w:r>
    </w:p>
    <w:p w:rsidR="00000000" w:rsidDel="00000000" w:rsidP="00000000" w:rsidRDefault="00000000" w:rsidRPr="00000000">
      <w:pPr>
        <w:spacing w:line="240" w:lineRule="auto"/>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jc w:val="center"/>
      </w:pPr>
      <w:r w:rsidDel="00000000" w:rsidR="00000000" w:rsidRPr="00000000">
        <w:rPr>
          <w:b w:val="1"/>
          <w:sz w:val="20"/>
          <w:szCs w:val="20"/>
          <w:rtl w:val="0"/>
        </w:rPr>
        <w:t xml:space="preserve">LARKIN COLLECTIONS IN THE CUBE</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sz w:val="20"/>
          <w:szCs w:val="20"/>
          <w:rtl w:val="0"/>
        </w:rPr>
        <w:t xml:space="preserve">Larkin’s literary manuscripts, together with many of his letters and an extensive collection of published works by and about him are held in the University Archives at Hull History Centre</w:t>
      </w:r>
      <w:r w:rsidDel="00000000" w:rsidR="00000000" w:rsidRPr="00000000">
        <w:rPr>
          <w:b w:val="1"/>
          <w:sz w:val="20"/>
          <w:szCs w:val="20"/>
          <w:rtl w:val="0"/>
        </w:rPr>
        <w:t xml:space="preserve">.</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b w:val="1"/>
          <w:sz w:val="20"/>
          <w:szCs w:val="20"/>
          <w:rtl w:val="0"/>
        </w:rPr>
        <w:t xml:space="preserve">Photocopies of Larkin’s workbooks are available in the Cube at q PR 6023 A72 A2</w:t>
      </w:r>
    </w:p>
    <w:p w:rsidR="00000000" w:rsidDel="00000000" w:rsidP="00000000" w:rsidRDefault="00000000" w:rsidRPr="00000000">
      <w:pPr>
        <w:ind w:right="-285"/>
        <w:contextualSpacing w:val="0"/>
      </w:pPr>
      <w:r w:rsidDel="00000000" w:rsidR="00000000" w:rsidRPr="00000000">
        <w:rPr>
          <w:rtl w:val="0"/>
        </w:rPr>
      </w:r>
    </w:p>
    <w:p w:rsidR="00000000" w:rsidDel="00000000" w:rsidP="00000000" w:rsidRDefault="00000000" w:rsidRPr="00000000">
      <w:pPr>
        <w:ind w:right="-285"/>
        <w:contextualSpacing w:val="0"/>
      </w:pPr>
      <w:r w:rsidDel="00000000" w:rsidR="00000000" w:rsidRPr="00000000">
        <w:rPr>
          <w:sz w:val="20"/>
          <w:szCs w:val="20"/>
          <w:rtl w:val="0"/>
        </w:rPr>
        <w:t xml:space="preserve">Drafts of three poems that could be put out:</w:t>
      </w:r>
    </w:p>
    <w:p w:rsidR="00000000" w:rsidDel="00000000" w:rsidP="00000000" w:rsidRDefault="00000000" w:rsidRPr="00000000">
      <w:pPr>
        <w:ind w:right="-285"/>
        <w:contextualSpacing w:val="0"/>
      </w:pPr>
      <w:r w:rsidDel="00000000" w:rsidR="00000000" w:rsidRPr="00000000">
        <w:rPr>
          <w:sz w:val="20"/>
          <w:szCs w:val="20"/>
          <w:rtl w:val="0"/>
        </w:rPr>
        <w:tab/>
      </w:r>
    </w:p>
    <w:tbl>
      <w:tblPr>
        <w:tblStyle w:val="Table1"/>
        <w:bidiVisual w:val="0"/>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2490"/>
        <w:gridCol w:w="2100"/>
        <w:gridCol w:w="3570"/>
        <w:tblGridChange w:id="0">
          <w:tblGrid>
            <w:gridCol w:w="1395"/>
            <w:gridCol w:w="2490"/>
            <w:gridCol w:w="2100"/>
            <w:gridCol w:w="3570"/>
          </w:tblGrid>
        </w:tblGridChange>
      </w:tblGrid>
      <w:tr>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Workbook number</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Leaf numbers</w:t>
            </w:r>
          </w:p>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(on backs of leaves)</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Title</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b w:val="1"/>
                <w:sz w:val="20"/>
                <w:szCs w:val="20"/>
                <w:rtl w:val="0"/>
              </w:rPr>
              <w:t xml:space="preserve">Subject</w:t>
            </w:r>
          </w:p>
        </w:tc>
      </w:tr>
      <w:tr>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6</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38-40</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Here</w:t>
            </w:r>
          </w:p>
        </w:tc>
        <w:tc>
          <w:tcPr>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sz w:val="20"/>
                <w:szCs w:val="20"/>
                <w:rtl w:val="0"/>
              </w:rPr>
              <w:t xml:space="preserve">Hull and Holderness</w:t>
            </w:r>
          </w:p>
        </w:tc>
      </w:tr>
      <w:tr>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7</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62-63</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Annus Mirabilis</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1960s sexual revolution </w:t>
            </w:r>
            <w:r w:rsidDel="00000000" w:rsidR="00000000" w:rsidRPr="00000000">
              <w:rPr>
                <w:color w:val="ff0000"/>
                <w:sz w:val="20"/>
                <w:szCs w:val="20"/>
                <w:rtl w:val="0"/>
              </w:rPr>
              <w:t xml:space="preserve">(*Explicit, but </w:t>
            </w:r>
          </w:p>
          <w:p w:rsidR="00000000" w:rsidDel="00000000" w:rsidP="00000000" w:rsidRDefault="00000000" w:rsidRPr="00000000">
            <w:pPr>
              <w:spacing w:line="240" w:lineRule="auto"/>
              <w:ind w:right="-285"/>
              <w:contextualSpacing w:val="0"/>
            </w:pPr>
            <w:r w:rsidDel="00000000" w:rsidR="00000000" w:rsidRPr="00000000">
              <w:rPr>
                <w:color w:val="ff0000"/>
                <w:sz w:val="20"/>
                <w:szCs w:val="20"/>
                <w:rtl w:val="0"/>
              </w:rPr>
              <w:t xml:space="preserve">no F-words)</w:t>
            </w:r>
          </w:p>
        </w:tc>
      </w:tr>
      <w:tr>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8</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10-13</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rtl w:val="0"/>
              </w:rPr>
              <w:t xml:space="preserve">The Building</w:t>
            </w:r>
          </w:p>
        </w:tc>
        <w:tc>
          <w:tcPr>
            <w:tcMar>
              <w:top w:w="100.0" w:type="dxa"/>
              <w:left w:w="100.0" w:type="dxa"/>
              <w:bottom w:w="100.0" w:type="dxa"/>
              <w:right w:w="100.0" w:type="dxa"/>
            </w:tcMar>
          </w:tcPr>
          <w:p w:rsidR="00000000" w:rsidDel="00000000" w:rsidP="00000000" w:rsidRDefault="00000000" w:rsidRPr="00000000">
            <w:pPr>
              <w:spacing w:line="240" w:lineRule="auto"/>
              <w:ind w:right="-285"/>
              <w:contextualSpacing w:val="0"/>
            </w:pPr>
            <w:r w:rsidDel="00000000" w:rsidR="00000000" w:rsidRPr="00000000">
              <w:rPr>
                <w:sz w:val="20"/>
                <w:szCs w:val="20"/>
                <w:highlight w:val="white"/>
                <w:rtl w:val="0"/>
              </w:rPr>
              <w:t xml:space="preserve">Hull Royal Infirmary, and also the inescapability of death</w:t>
            </w:r>
            <w:r w:rsidDel="00000000" w:rsidR="00000000" w:rsidRPr="00000000">
              <w:rPr>
                <w:rtl w:val="0"/>
              </w:rPr>
            </w:r>
          </w:p>
        </w:tc>
      </w:tr>
    </w:tbl>
    <w:p w:rsidR="00000000" w:rsidDel="00000000" w:rsidP="00000000" w:rsidRDefault="00000000" w:rsidRPr="00000000">
      <w:pPr>
        <w:spacing w:after="160" w:lineRule="auto"/>
        <w:ind w:right="-285"/>
        <w:contextualSpacing w:val="0"/>
      </w:pPr>
      <w:r w:rsidDel="00000000" w:rsidR="00000000" w:rsidRPr="00000000">
        <w:rPr>
          <w:rtl w:val="0"/>
        </w:rPr>
      </w:r>
    </w:p>
    <w:tbl>
      <w:tblPr>
        <w:tblStyle w:val="Table2"/>
        <w:bidiVisual w:val="0"/>
        <w:tblW w:w="3100.0" w:type="dxa"/>
        <w:jc w:val="left"/>
        <w:tblLayout w:type="fixed"/>
        <w:tblLook w:val="0600"/>
      </w:tblPr>
      <w:tblGrid>
        <w:gridCol w:w="390"/>
        <w:gridCol w:w="480"/>
        <w:gridCol w:w="680"/>
        <w:gridCol w:w="1550"/>
        <w:tblGridChange w:id="0">
          <w:tblGrid>
            <w:gridCol w:w="390"/>
            <w:gridCol w:w="480"/>
            <w:gridCol w:w="680"/>
            <w:gridCol w:w="1550"/>
          </w:tblGrid>
        </w:tblGridChange>
      </w:tblGrid>
      <w:tr>
        <w:trPr>
          <w:trHeight w:val="172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right="-285"/>
              <w:contextualSpacing w:val="0"/>
            </w:pPr>
            <w:r w:rsidDel="00000000" w:rsidR="00000000" w:rsidRPr="00000000">
              <w:rPr>
                <w:rtl w:val="0"/>
              </w:rPr>
            </w:r>
          </w:p>
        </w:tc>
      </w:tr>
    </w:tbl>
    <w:p w:rsidR="00000000" w:rsidDel="00000000" w:rsidP="00000000" w:rsidRDefault="00000000" w:rsidRPr="00000000">
      <w:pPr>
        <w:ind w:right="-285"/>
        <w:contextualSpacing w:val="0"/>
      </w:pPr>
      <w:r w:rsidDel="00000000" w:rsidR="00000000" w:rsidRPr="00000000">
        <w:rPr>
          <w:rtl w:val="0"/>
        </w:rPr>
      </w:r>
    </w:p>
    <w:sectPr>
      <w:pgSz w:h="15840" w:w="12240"/>
      <w:pgMar w:bottom="0" w:top="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4D778-E9A8-4183-89E6-9D6C63F0FDCE}"/>
</file>

<file path=customXml/itemProps2.xml><?xml version="1.0" encoding="utf-8"?>
<ds:datastoreItem xmlns:ds="http://schemas.openxmlformats.org/officeDocument/2006/customXml" ds:itemID="{1C4F587C-ED05-4B1D-92BF-759C86EB25C2}"/>
</file>

<file path=customXml/itemProps3.xml><?xml version="1.0" encoding="utf-8"?>
<ds:datastoreItem xmlns:ds="http://schemas.openxmlformats.org/officeDocument/2006/customXml" ds:itemID="{EC85FCC7-112C-4EEA-B127-83CDB68A52A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