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9B9" w:rsidRPr="005F79B9" w:rsidRDefault="005F79B9" w:rsidP="00C94D09">
      <w:pPr>
        <w:rPr>
          <w:b/>
          <w:sz w:val="32"/>
          <w:szCs w:val="32"/>
        </w:rPr>
      </w:pPr>
      <w:bookmarkStart w:id="0" w:name="_GoBack"/>
      <w:bookmarkEnd w:id="0"/>
      <w:r w:rsidRPr="005F79B9">
        <w:rPr>
          <w:b/>
          <w:sz w:val="32"/>
          <w:szCs w:val="32"/>
        </w:rPr>
        <w:t>Planning application ‘A Hall for Hull’</w:t>
      </w:r>
      <w:r>
        <w:rPr>
          <w:b/>
          <w:sz w:val="32"/>
          <w:szCs w:val="32"/>
        </w:rPr>
        <w:br/>
      </w:r>
      <w:r w:rsidRPr="005F79B9">
        <w:rPr>
          <w:b/>
          <w:sz w:val="28"/>
          <w:szCs w:val="28"/>
        </w:rPr>
        <w:t>Hull City of Culture 2017</w:t>
      </w:r>
      <w:r>
        <w:rPr>
          <w:b/>
          <w:sz w:val="28"/>
          <w:szCs w:val="28"/>
        </w:rPr>
        <w:br/>
      </w:r>
      <w:r w:rsidRPr="005F79B9">
        <w:rPr>
          <w:b/>
          <w:sz w:val="20"/>
          <w:szCs w:val="20"/>
        </w:rPr>
        <w:t>9 June 2017</w:t>
      </w:r>
    </w:p>
    <w:p w:rsidR="005F79B9" w:rsidRDefault="005F79B9" w:rsidP="00C94D09">
      <w:pPr>
        <w:rPr>
          <w:b/>
        </w:rPr>
      </w:pPr>
      <w:r>
        <w:rPr>
          <w:b/>
          <w:noProof/>
        </w:rPr>
        <w:drawing>
          <wp:inline distT="0" distB="0" distL="0" distR="0">
            <wp:extent cx="4810125" cy="36078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E_visual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3680" cy="3610525"/>
                    </a:xfrm>
                    <a:prstGeom prst="rect">
                      <a:avLst/>
                    </a:prstGeom>
                  </pic:spPr>
                </pic:pic>
              </a:graphicData>
            </a:graphic>
          </wp:inline>
        </w:drawing>
      </w:r>
    </w:p>
    <w:p w:rsidR="005F79B9" w:rsidRDefault="005F79B9" w:rsidP="00C94D09">
      <w:pPr>
        <w:rPr>
          <w:b/>
        </w:rPr>
      </w:pPr>
      <w:r>
        <w:rPr>
          <w:b/>
          <w:noProof/>
        </w:rPr>
        <w:drawing>
          <wp:inline distT="0" distB="0" distL="0" distR="0">
            <wp:extent cx="4810125" cy="3607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E_visual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3680" cy="3610527"/>
                    </a:xfrm>
                    <a:prstGeom prst="rect">
                      <a:avLst/>
                    </a:prstGeom>
                  </pic:spPr>
                </pic:pic>
              </a:graphicData>
            </a:graphic>
          </wp:inline>
        </w:drawing>
      </w:r>
    </w:p>
    <w:p w:rsidR="005F79B9" w:rsidRPr="005F79B9" w:rsidRDefault="005F79B9" w:rsidP="00C94D09">
      <w:pPr>
        <w:rPr>
          <w:b/>
          <w:sz w:val="18"/>
          <w:szCs w:val="18"/>
        </w:rPr>
      </w:pPr>
      <w:r w:rsidRPr="005F79B9">
        <w:rPr>
          <w:b/>
          <w:sz w:val="18"/>
          <w:szCs w:val="18"/>
        </w:rPr>
        <w:t>Royal Institute of British Architects</w:t>
      </w:r>
      <w:r w:rsidRPr="005F79B9">
        <w:rPr>
          <w:b/>
          <w:sz w:val="18"/>
          <w:szCs w:val="18"/>
        </w:rPr>
        <w:br/>
        <w:t>66 Portland Place</w:t>
      </w:r>
      <w:r w:rsidRPr="005F79B9">
        <w:rPr>
          <w:b/>
          <w:sz w:val="18"/>
          <w:szCs w:val="18"/>
        </w:rPr>
        <w:br/>
        <w:t>London W1B 1AD</w:t>
      </w:r>
    </w:p>
    <w:p w:rsidR="005F79B9" w:rsidRDefault="005F79B9" w:rsidP="00C94D09">
      <w:pPr>
        <w:rPr>
          <w:b/>
        </w:rPr>
      </w:pPr>
    </w:p>
    <w:p w:rsidR="00523065" w:rsidRDefault="00523065" w:rsidP="0047024E">
      <w:pPr>
        <w:rPr>
          <w:b/>
          <w:sz w:val="24"/>
          <w:szCs w:val="24"/>
        </w:rPr>
      </w:pPr>
      <w:r>
        <w:rPr>
          <w:b/>
          <w:sz w:val="24"/>
          <w:szCs w:val="24"/>
        </w:rPr>
        <w:t>Contents</w:t>
      </w:r>
    </w:p>
    <w:p w:rsidR="001E7ECD" w:rsidRDefault="001E7ECD" w:rsidP="0047024E">
      <w:pPr>
        <w:rPr>
          <w:b/>
          <w:sz w:val="24"/>
          <w:szCs w:val="24"/>
        </w:rPr>
      </w:pPr>
    </w:p>
    <w:p w:rsidR="00523065" w:rsidRDefault="001E7ECD" w:rsidP="0047024E">
      <w:pPr>
        <w:rPr>
          <w:b/>
          <w:sz w:val="24"/>
          <w:szCs w:val="24"/>
        </w:rPr>
      </w:pPr>
      <w:r>
        <w:rPr>
          <w:b/>
          <w:sz w:val="24"/>
          <w:szCs w:val="24"/>
        </w:rPr>
        <w:t>Introduction</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1E7ECD">
        <w:rPr>
          <w:sz w:val="24"/>
          <w:szCs w:val="24"/>
        </w:rPr>
        <w:t>3</w:t>
      </w:r>
      <w:r>
        <w:rPr>
          <w:sz w:val="24"/>
          <w:szCs w:val="24"/>
        </w:rPr>
        <w:br/>
      </w:r>
    </w:p>
    <w:p w:rsidR="00523065" w:rsidRDefault="00523065" w:rsidP="001E7ECD">
      <w:pPr>
        <w:spacing w:line="480" w:lineRule="auto"/>
        <w:jc w:val="both"/>
        <w:rPr>
          <w:b/>
          <w:sz w:val="24"/>
          <w:szCs w:val="24"/>
        </w:rPr>
      </w:pPr>
      <w:r w:rsidRPr="00667FDE">
        <w:rPr>
          <w:b/>
          <w:sz w:val="24"/>
          <w:szCs w:val="24"/>
        </w:rPr>
        <w:t xml:space="preserve">1 Design and Access Statement </w:t>
      </w:r>
      <w:r>
        <w:rPr>
          <w:b/>
          <w:sz w:val="24"/>
          <w:szCs w:val="24"/>
        </w:rPr>
        <w:t>“Hall for Hull”</w:t>
      </w:r>
    </w:p>
    <w:p w:rsidR="00523065" w:rsidRPr="001E7ECD" w:rsidRDefault="00523065" w:rsidP="001E7ECD">
      <w:pPr>
        <w:pStyle w:val="ListParagraph"/>
        <w:numPr>
          <w:ilvl w:val="1"/>
          <w:numId w:val="6"/>
        </w:numPr>
        <w:spacing w:line="480" w:lineRule="auto"/>
        <w:jc w:val="both"/>
      </w:pPr>
      <w:r w:rsidRPr="001E7ECD">
        <w:t>Proposed Development</w:t>
      </w:r>
      <w:r w:rsidRPr="001E7ECD">
        <w:tab/>
      </w:r>
      <w:r w:rsidRPr="001E7ECD">
        <w:tab/>
      </w:r>
      <w:r w:rsidRPr="001E7ECD">
        <w:tab/>
      </w:r>
      <w:r w:rsidRPr="001E7ECD">
        <w:tab/>
      </w:r>
      <w:r w:rsidRPr="001E7ECD">
        <w:tab/>
      </w:r>
      <w:r w:rsidR="00277E54" w:rsidRPr="001E7ECD">
        <w:tab/>
      </w:r>
      <w:r w:rsidR="00277E54" w:rsidRPr="001E7ECD">
        <w:tab/>
      </w:r>
      <w:r w:rsidR="001E7ECD">
        <w:t>3</w:t>
      </w:r>
    </w:p>
    <w:p w:rsidR="001E7ECD" w:rsidRPr="001E7ECD" w:rsidRDefault="00523065" w:rsidP="001E7ECD">
      <w:pPr>
        <w:pStyle w:val="ListParagraph"/>
        <w:numPr>
          <w:ilvl w:val="1"/>
          <w:numId w:val="6"/>
        </w:numPr>
        <w:spacing w:line="480" w:lineRule="auto"/>
        <w:jc w:val="both"/>
        <w:rPr>
          <w:b/>
        </w:rPr>
      </w:pPr>
      <w:r w:rsidRPr="001E7ECD">
        <w:t>Compliance with Planning Policy</w:t>
      </w:r>
      <w:r w:rsidRPr="001E7ECD">
        <w:tab/>
      </w:r>
      <w:r w:rsidRPr="001E7ECD">
        <w:tab/>
      </w:r>
      <w:r w:rsidRPr="001E7ECD">
        <w:tab/>
      </w:r>
      <w:r w:rsidRPr="001E7ECD">
        <w:tab/>
      </w:r>
      <w:r w:rsidR="00277E54" w:rsidRPr="001E7ECD">
        <w:tab/>
      </w:r>
      <w:r w:rsidR="00277E54" w:rsidRPr="001E7ECD">
        <w:tab/>
      </w:r>
      <w:r w:rsidR="001E7ECD">
        <w:t>4</w:t>
      </w:r>
    </w:p>
    <w:p w:rsidR="001E7ECD" w:rsidRPr="001E7ECD" w:rsidRDefault="001E7ECD" w:rsidP="001E7ECD">
      <w:pPr>
        <w:pStyle w:val="ListParagraph"/>
        <w:numPr>
          <w:ilvl w:val="1"/>
          <w:numId w:val="6"/>
        </w:numPr>
        <w:spacing w:line="480" w:lineRule="auto"/>
        <w:jc w:val="both"/>
      </w:pPr>
      <w:r w:rsidRPr="001E7ECD">
        <w:t xml:space="preserve">Installation methodology </w:t>
      </w:r>
      <w:r>
        <w:tab/>
      </w:r>
      <w:r>
        <w:tab/>
      </w:r>
      <w:r>
        <w:tab/>
      </w:r>
      <w:r>
        <w:tab/>
      </w:r>
      <w:r>
        <w:tab/>
      </w:r>
      <w:r>
        <w:tab/>
      </w:r>
      <w:r>
        <w:tab/>
        <w:t>4</w:t>
      </w:r>
    </w:p>
    <w:p w:rsidR="00523065" w:rsidRDefault="00D20E19" w:rsidP="00D20E19">
      <w:pPr>
        <w:pStyle w:val="ListParagraph"/>
        <w:numPr>
          <w:ilvl w:val="1"/>
          <w:numId w:val="6"/>
        </w:numPr>
        <w:spacing w:line="480" w:lineRule="auto"/>
        <w:rPr>
          <w:b/>
        </w:rPr>
      </w:pPr>
      <w:r>
        <w:t xml:space="preserve">Health and Safety </w:t>
      </w:r>
      <w:r>
        <w:tab/>
      </w:r>
      <w:r>
        <w:tab/>
      </w:r>
      <w:r>
        <w:tab/>
      </w:r>
      <w:r>
        <w:tab/>
      </w:r>
      <w:r>
        <w:tab/>
      </w:r>
      <w:r>
        <w:tab/>
      </w:r>
      <w:r>
        <w:tab/>
      </w:r>
      <w:r>
        <w:tab/>
        <w:t>5</w:t>
      </w:r>
      <w:r w:rsidR="00277E54">
        <w:rPr>
          <w:b/>
        </w:rPr>
        <w:br/>
      </w:r>
    </w:p>
    <w:p w:rsidR="00523065" w:rsidRPr="00523065" w:rsidRDefault="00523065" w:rsidP="00523065">
      <w:pPr>
        <w:spacing w:line="360" w:lineRule="auto"/>
        <w:rPr>
          <w:b/>
          <w:sz w:val="24"/>
          <w:szCs w:val="24"/>
        </w:rPr>
      </w:pPr>
      <w:r w:rsidRPr="00523065">
        <w:rPr>
          <w:b/>
          <w:sz w:val="24"/>
          <w:szCs w:val="24"/>
        </w:rPr>
        <w:t xml:space="preserve">2 Flood Risk Statement </w:t>
      </w:r>
    </w:p>
    <w:p w:rsidR="00523065" w:rsidRDefault="00523065" w:rsidP="00523065">
      <w:pPr>
        <w:spacing w:line="360" w:lineRule="auto"/>
        <w:rPr>
          <w:b/>
        </w:rPr>
      </w:pPr>
      <w:r w:rsidRPr="001E7ECD">
        <w:t xml:space="preserve">2.1 Flood Risk </w:t>
      </w:r>
      <w:r w:rsidRPr="001E7ECD">
        <w:tab/>
      </w:r>
      <w:r w:rsidRPr="001E7ECD">
        <w:tab/>
      </w:r>
      <w:r>
        <w:rPr>
          <w:b/>
        </w:rPr>
        <w:tab/>
      </w:r>
      <w:r>
        <w:rPr>
          <w:b/>
        </w:rPr>
        <w:tab/>
      </w:r>
      <w:r>
        <w:rPr>
          <w:b/>
        </w:rPr>
        <w:tab/>
      </w:r>
      <w:r>
        <w:rPr>
          <w:b/>
        </w:rPr>
        <w:tab/>
      </w:r>
      <w:r>
        <w:rPr>
          <w:b/>
        </w:rPr>
        <w:tab/>
      </w:r>
      <w:r w:rsidR="00277E54">
        <w:rPr>
          <w:b/>
        </w:rPr>
        <w:tab/>
      </w:r>
      <w:r w:rsidR="00277E54">
        <w:rPr>
          <w:b/>
        </w:rPr>
        <w:tab/>
      </w:r>
      <w:r w:rsidR="00C12FCA">
        <w:t>5</w:t>
      </w:r>
      <w:r w:rsidR="00277E54">
        <w:rPr>
          <w:b/>
        </w:rPr>
        <w:br/>
      </w:r>
    </w:p>
    <w:p w:rsidR="00523065" w:rsidRPr="00130A60" w:rsidRDefault="00523065" w:rsidP="00523065">
      <w:pPr>
        <w:pStyle w:val="ListParagraph"/>
        <w:numPr>
          <w:ilvl w:val="0"/>
          <w:numId w:val="5"/>
        </w:numPr>
        <w:spacing w:line="360" w:lineRule="auto"/>
        <w:rPr>
          <w:b/>
          <w:sz w:val="24"/>
          <w:szCs w:val="24"/>
        </w:rPr>
      </w:pPr>
      <w:r w:rsidRPr="0047024E">
        <w:rPr>
          <w:b/>
          <w:sz w:val="24"/>
          <w:szCs w:val="24"/>
        </w:rPr>
        <w:t>Heritage Statement</w:t>
      </w:r>
      <w:r w:rsidRPr="00130A60">
        <w:rPr>
          <w:b/>
          <w:sz w:val="24"/>
          <w:szCs w:val="24"/>
        </w:rPr>
        <w:t xml:space="preserve"> </w:t>
      </w:r>
    </w:p>
    <w:p w:rsidR="00523065" w:rsidRPr="001E7ECD" w:rsidRDefault="00523065" w:rsidP="00523065">
      <w:pPr>
        <w:spacing w:line="360" w:lineRule="auto"/>
      </w:pPr>
      <w:r w:rsidRPr="001E7ECD">
        <w:t xml:space="preserve">3.1 Background to project </w:t>
      </w:r>
      <w:r w:rsidRPr="001E7ECD">
        <w:tab/>
      </w:r>
      <w:r w:rsidRPr="001E7ECD">
        <w:tab/>
      </w:r>
      <w:r w:rsidRPr="001E7ECD">
        <w:tab/>
      </w:r>
      <w:r w:rsidRPr="001E7ECD">
        <w:tab/>
      </w:r>
      <w:r w:rsidRPr="001E7ECD">
        <w:tab/>
      </w:r>
      <w:r w:rsidR="00277E54" w:rsidRPr="001E7ECD">
        <w:tab/>
      </w:r>
      <w:r w:rsidR="00277E54" w:rsidRPr="001E7ECD">
        <w:tab/>
      </w:r>
      <w:r w:rsidR="00C12FCA">
        <w:t>6</w:t>
      </w:r>
    </w:p>
    <w:p w:rsidR="00523065" w:rsidRPr="001E7ECD" w:rsidRDefault="00523065" w:rsidP="00523065">
      <w:pPr>
        <w:spacing w:line="360" w:lineRule="auto"/>
      </w:pPr>
      <w:r w:rsidRPr="001E7ECD">
        <w:t>3.2 About the installation a “Hall for Hull” and the artists</w:t>
      </w:r>
      <w:r w:rsidRPr="001E7ECD">
        <w:tab/>
      </w:r>
      <w:r w:rsidR="00277E54" w:rsidRPr="001E7ECD">
        <w:tab/>
      </w:r>
      <w:r w:rsidR="00277E54" w:rsidRPr="001E7ECD">
        <w:tab/>
      </w:r>
      <w:r w:rsidR="00C12FCA">
        <w:t>7</w:t>
      </w:r>
    </w:p>
    <w:p w:rsidR="00277E54" w:rsidRPr="001E7ECD" w:rsidRDefault="00523065" w:rsidP="00277E54">
      <w:pPr>
        <w:spacing w:line="360" w:lineRule="auto"/>
      </w:pPr>
      <w:r w:rsidRPr="001E7ECD">
        <w:t xml:space="preserve">3.3 Location and status of site </w:t>
      </w:r>
      <w:r w:rsidRPr="001E7ECD">
        <w:tab/>
      </w:r>
      <w:r w:rsidRPr="001E7ECD">
        <w:tab/>
      </w:r>
      <w:r w:rsidRPr="001E7ECD">
        <w:tab/>
      </w:r>
      <w:r w:rsidRPr="001E7ECD">
        <w:tab/>
      </w:r>
      <w:r w:rsidRPr="001E7ECD">
        <w:tab/>
      </w:r>
      <w:r w:rsidR="00277E54" w:rsidRPr="001E7ECD">
        <w:tab/>
      </w:r>
      <w:r w:rsidR="00277E54" w:rsidRPr="001E7ECD">
        <w:tab/>
      </w:r>
      <w:r w:rsidR="00C12FCA">
        <w:t>7</w:t>
      </w:r>
    </w:p>
    <w:p w:rsidR="00277E54" w:rsidRPr="001E7ECD" w:rsidRDefault="00277E54" w:rsidP="00277E54">
      <w:pPr>
        <w:spacing w:line="360" w:lineRule="auto"/>
      </w:pPr>
      <w:r w:rsidRPr="001E7ECD">
        <w:rPr>
          <w:rFonts w:cs="Times"/>
          <w:bCs/>
          <w:color w:val="000000" w:themeColor="text1"/>
          <w:lang w:val="en-US"/>
        </w:rPr>
        <w:t xml:space="preserve">3.1 Historical and archaeological background </w:t>
      </w:r>
      <w:r w:rsidR="00C12FCA">
        <w:rPr>
          <w:rFonts w:cs="Times"/>
          <w:bCs/>
          <w:color w:val="000000" w:themeColor="text1"/>
          <w:lang w:val="en-US"/>
        </w:rPr>
        <w:tab/>
      </w:r>
      <w:r w:rsidR="00C12FCA">
        <w:rPr>
          <w:rFonts w:cs="Times"/>
          <w:bCs/>
          <w:color w:val="000000" w:themeColor="text1"/>
          <w:lang w:val="en-US"/>
        </w:rPr>
        <w:tab/>
      </w:r>
      <w:r w:rsidR="00C12FCA">
        <w:rPr>
          <w:rFonts w:cs="Times"/>
          <w:bCs/>
          <w:color w:val="000000" w:themeColor="text1"/>
          <w:lang w:val="en-US"/>
        </w:rPr>
        <w:tab/>
      </w:r>
      <w:r w:rsidR="00C12FCA">
        <w:rPr>
          <w:rFonts w:cs="Times"/>
          <w:bCs/>
          <w:color w:val="000000" w:themeColor="text1"/>
          <w:lang w:val="en-US"/>
        </w:rPr>
        <w:tab/>
      </w:r>
      <w:r w:rsidR="00C12FCA">
        <w:rPr>
          <w:rFonts w:cs="Times"/>
          <w:bCs/>
          <w:color w:val="000000" w:themeColor="text1"/>
          <w:lang w:val="en-US"/>
        </w:rPr>
        <w:tab/>
        <w:t>8</w:t>
      </w:r>
      <w:r w:rsidR="00C12FCA">
        <w:rPr>
          <w:rFonts w:cs="Times"/>
          <w:bCs/>
          <w:color w:val="000000" w:themeColor="text1"/>
          <w:lang w:val="en-US"/>
        </w:rPr>
        <w:tab/>
      </w:r>
      <w:r w:rsidR="00C12FCA">
        <w:rPr>
          <w:rFonts w:cs="Times"/>
          <w:bCs/>
          <w:color w:val="000000" w:themeColor="text1"/>
          <w:lang w:val="en-US"/>
        </w:rPr>
        <w:tab/>
      </w:r>
    </w:p>
    <w:p w:rsidR="00277E54" w:rsidRPr="001E7ECD" w:rsidRDefault="00277E54" w:rsidP="00277E54">
      <w:pPr>
        <w:spacing w:line="360" w:lineRule="auto"/>
        <w:ind w:firstLine="720"/>
        <w:rPr>
          <w:rFonts w:cs="Times"/>
          <w:bCs/>
          <w:color w:val="000000" w:themeColor="text1"/>
          <w:lang w:val="en-US"/>
        </w:rPr>
      </w:pPr>
      <w:r w:rsidRPr="001E7ECD">
        <w:rPr>
          <w:rFonts w:cs="Times"/>
          <w:bCs/>
          <w:color w:val="000000" w:themeColor="text1"/>
          <w:lang w:val="en-US"/>
        </w:rPr>
        <w:t xml:space="preserve">3.1.1 History and development of Hull </w:t>
      </w:r>
      <w:r w:rsidR="00C12FCA">
        <w:rPr>
          <w:rFonts w:cs="Times"/>
          <w:bCs/>
          <w:color w:val="000000" w:themeColor="text1"/>
          <w:lang w:val="en-US"/>
        </w:rPr>
        <w:tab/>
      </w:r>
      <w:r w:rsidR="00C12FCA">
        <w:rPr>
          <w:rFonts w:cs="Times"/>
          <w:bCs/>
          <w:color w:val="000000" w:themeColor="text1"/>
          <w:lang w:val="en-US"/>
        </w:rPr>
        <w:tab/>
      </w:r>
      <w:r w:rsidR="00C12FCA">
        <w:rPr>
          <w:rFonts w:cs="Times"/>
          <w:bCs/>
          <w:color w:val="000000" w:themeColor="text1"/>
          <w:lang w:val="en-US"/>
        </w:rPr>
        <w:tab/>
      </w:r>
      <w:r w:rsidR="00C12FCA">
        <w:rPr>
          <w:rFonts w:cs="Times"/>
          <w:bCs/>
          <w:color w:val="000000" w:themeColor="text1"/>
          <w:lang w:val="en-US"/>
        </w:rPr>
        <w:tab/>
      </w:r>
      <w:r w:rsidR="00C12FCA">
        <w:rPr>
          <w:rFonts w:cs="Times"/>
          <w:bCs/>
          <w:color w:val="000000" w:themeColor="text1"/>
          <w:lang w:val="en-US"/>
        </w:rPr>
        <w:tab/>
        <w:t>8</w:t>
      </w:r>
    </w:p>
    <w:p w:rsidR="00277E54" w:rsidRPr="001E7ECD" w:rsidRDefault="00277E54" w:rsidP="00277E54">
      <w:pPr>
        <w:spacing w:line="360" w:lineRule="auto"/>
        <w:rPr>
          <w:rFonts w:cs="Times"/>
          <w:bCs/>
          <w:color w:val="000000" w:themeColor="text1"/>
          <w:lang w:val="en-US"/>
        </w:rPr>
      </w:pPr>
      <w:r w:rsidRPr="001E7ECD">
        <w:rPr>
          <w:rFonts w:cs="Times"/>
          <w:bCs/>
          <w:color w:val="000000" w:themeColor="text1"/>
          <w:lang w:val="en-US"/>
        </w:rPr>
        <w:t xml:space="preserve">3.2 Discussion of the Cultural Heritage resource and potential impacts </w:t>
      </w:r>
      <w:r w:rsidR="00C12FCA">
        <w:rPr>
          <w:rFonts w:cs="Times"/>
          <w:bCs/>
          <w:color w:val="000000" w:themeColor="text1"/>
          <w:lang w:val="en-US"/>
        </w:rPr>
        <w:tab/>
      </w:r>
      <w:r w:rsidR="00C12FCA">
        <w:rPr>
          <w:rFonts w:cs="Times"/>
          <w:bCs/>
          <w:color w:val="000000" w:themeColor="text1"/>
          <w:lang w:val="en-US"/>
        </w:rPr>
        <w:tab/>
        <w:t>8</w:t>
      </w:r>
    </w:p>
    <w:p w:rsidR="00277E54" w:rsidRPr="001E7ECD" w:rsidRDefault="00277E54" w:rsidP="00277E54">
      <w:pPr>
        <w:spacing w:line="360" w:lineRule="auto"/>
        <w:ind w:firstLine="720"/>
        <w:rPr>
          <w:rFonts w:cs="Times"/>
          <w:bCs/>
          <w:color w:val="000000" w:themeColor="text1"/>
          <w:lang w:val="en-US"/>
        </w:rPr>
      </w:pPr>
      <w:r w:rsidRPr="001E7ECD">
        <w:rPr>
          <w:rFonts w:cs="Times"/>
          <w:bCs/>
          <w:color w:val="000000" w:themeColor="text1"/>
          <w:lang w:val="en-US"/>
        </w:rPr>
        <w:t xml:space="preserve">3.2.1 Cultural heritage resource </w:t>
      </w:r>
      <w:r w:rsidR="00C12FCA">
        <w:rPr>
          <w:rFonts w:cs="Times"/>
          <w:bCs/>
          <w:color w:val="000000" w:themeColor="text1"/>
          <w:lang w:val="en-US"/>
        </w:rPr>
        <w:tab/>
      </w:r>
      <w:r w:rsidR="00C12FCA">
        <w:rPr>
          <w:rFonts w:cs="Times"/>
          <w:bCs/>
          <w:color w:val="000000" w:themeColor="text1"/>
          <w:lang w:val="en-US"/>
        </w:rPr>
        <w:tab/>
      </w:r>
      <w:r w:rsidR="00C12FCA">
        <w:rPr>
          <w:rFonts w:cs="Times"/>
          <w:bCs/>
          <w:color w:val="000000" w:themeColor="text1"/>
          <w:lang w:val="en-US"/>
        </w:rPr>
        <w:tab/>
      </w:r>
      <w:r w:rsidR="00C12FCA">
        <w:rPr>
          <w:rFonts w:cs="Times"/>
          <w:bCs/>
          <w:color w:val="000000" w:themeColor="text1"/>
          <w:lang w:val="en-US"/>
        </w:rPr>
        <w:tab/>
      </w:r>
      <w:r w:rsidR="00C12FCA">
        <w:rPr>
          <w:rFonts w:cs="Times"/>
          <w:bCs/>
          <w:color w:val="000000" w:themeColor="text1"/>
          <w:lang w:val="en-US"/>
        </w:rPr>
        <w:tab/>
      </w:r>
      <w:r w:rsidR="00C12FCA">
        <w:rPr>
          <w:rFonts w:cs="Times"/>
          <w:bCs/>
          <w:color w:val="000000" w:themeColor="text1"/>
          <w:lang w:val="en-US"/>
        </w:rPr>
        <w:tab/>
        <w:t>9</w:t>
      </w:r>
    </w:p>
    <w:p w:rsidR="00277E54" w:rsidRPr="001E7ECD" w:rsidRDefault="00277E54" w:rsidP="00277E54">
      <w:pPr>
        <w:spacing w:line="360" w:lineRule="auto"/>
        <w:ind w:firstLine="720"/>
        <w:rPr>
          <w:rFonts w:cs="Times"/>
          <w:bCs/>
          <w:color w:val="000000" w:themeColor="text1"/>
          <w:lang w:val="en-US"/>
        </w:rPr>
      </w:pPr>
      <w:r w:rsidRPr="001E7ECD">
        <w:rPr>
          <w:rFonts w:cs="Times"/>
          <w:bCs/>
          <w:color w:val="000000" w:themeColor="text1"/>
          <w:lang w:val="en-US"/>
        </w:rPr>
        <w:t xml:space="preserve">3.2.2 Setting effects from the proposed development </w:t>
      </w:r>
    </w:p>
    <w:p w:rsidR="00277E54" w:rsidRPr="00277E54" w:rsidRDefault="00277E54" w:rsidP="00277E54">
      <w:pPr>
        <w:spacing w:line="360" w:lineRule="auto"/>
        <w:rPr>
          <w:b/>
        </w:rPr>
      </w:pPr>
    </w:p>
    <w:p w:rsidR="001E7ECD" w:rsidRDefault="001E7ECD" w:rsidP="001E7ECD">
      <w:pPr>
        <w:rPr>
          <w:b/>
          <w:sz w:val="24"/>
          <w:szCs w:val="24"/>
        </w:rPr>
      </w:pPr>
      <w:r>
        <w:rPr>
          <w:b/>
          <w:sz w:val="24"/>
          <w:szCs w:val="24"/>
        </w:rPr>
        <w:lastRenderedPageBreak/>
        <w:t>Introduction</w:t>
      </w:r>
    </w:p>
    <w:p w:rsidR="001E7ECD" w:rsidRDefault="001E7ECD" w:rsidP="001E7ECD">
      <w:pPr>
        <w:rPr>
          <w:rFonts w:cstheme="minorHAnsi"/>
        </w:rPr>
      </w:pPr>
      <w:r w:rsidRPr="0047024E">
        <w:rPr>
          <w:rFonts w:cstheme="minorHAnsi"/>
        </w:rPr>
        <w:t>“</w:t>
      </w:r>
      <w:r>
        <w:rPr>
          <w:rFonts w:cstheme="minorHAnsi"/>
        </w:rPr>
        <w:t>A Hall for Hull</w:t>
      </w:r>
      <w:r w:rsidRPr="0047024E">
        <w:rPr>
          <w:rFonts w:cstheme="minorHAnsi"/>
        </w:rPr>
        <w:t xml:space="preserve">” is a temporary installation for Trinity </w:t>
      </w:r>
      <w:r>
        <w:rPr>
          <w:rFonts w:cstheme="minorHAnsi"/>
        </w:rPr>
        <w:t>S</w:t>
      </w:r>
      <w:r w:rsidRPr="0047024E">
        <w:rPr>
          <w:rFonts w:cstheme="minorHAnsi"/>
        </w:rPr>
        <w:t xml:space="preserve">quare, </w:t>
      </w:r>
      <w:r>
        <w:rPr>
          <w:rFonts w:cstheme="minorHAnsi"/>
        </w:rPr>
        <w:t>Hull, created by</w:t>
      </w:r>
      <w:r w:rsidRPr="0047024E">
        <w:rPr>
          <w:rFonts w:cstheme="minorHAnsi"/>
        </w:rPr>
        <w:t xml:space="preserve"> architect/artist collaboration (</w:t>
      </w:r>
      <w:r>
        <w:rPr>
          <w:rFonts w:cstheme="minorHAnsi"/>
        </w:rPr>
        <w:t xml:space="preserve">architects </w:t>
      </w:r>
      <w:r>
        <w:t>Pezo von Ellrichshausen and artist Felice Varini</w:t>
      </w:r>
      <w:r w:rsidRPr="0047024E">
        <w:rPr>
          <w:rFonts w:cstheme="minorHAnsi"/>
        </w:rPr>
        <w:t xml:space="preserve">).  It is a joint commission by Hull 2017 UK City of Culture and RIBA (the Royal Institute of British Architects).  </w:t>
      </w:r>
      <w:r>
        <w:rPr>
          <w:rFonts w:cstheme="minorHAnsi"/>
        </w:rPr>
        <w:t>A Hall for Hull</w:t>
      </w:r>
      <w:r w:rsidRPr="0047024E">
        <w:rPr>
          <w:rFonts w:cstheme="minorHAnsi"/>
        </w:rPr>
        <w:t xml:space="preserve"> is part of “Look Up”, a Hull 2017 programme of temporary installations in public places and spaces around the city, running throughout the year of </w:t>
      </w:r>
      <w:r>
        <w:rPr>
          <w:rFonts w:cstheme="minorHAnsi"/>
        </w:rPr>
        <w:t>City of C</w:t>
      </w:r>
      <w:r w:rsidRPr="0047024E">
        <w:rPr>
          <w:rFonts w:cstheme="minorHAnsi"/>
        </w:rPr>
        <w:t xml:space="preserve">ulture.  The project was developed through an invited competition between architect/artist collaborations, with a brief to create a temporary intervention designed specifically for the square.  </w:t>
      </w:r>
    </w:p>
    <w:p w:rsidR="001E7ECD" w:rsidRPr="0047024E" w:rsidRDefault="001E7ECD" w:rsidP="001E7ECD">
      <w:pPr>
        <w:rPr>
          <w:rFonts w:cstheme="minorHAnsi"/>
          <w:b/>
        </w:rPr>
      </w:pPr>
      <w:r>
        <w:rPr>
          <w:rFonts w:cstheme="minorHAnsi"/>
        </w:rPr>
        <w:t xml:space="preserve">See image of proposed installation at accompanying drawings and artists bios </w:t>
      </w:r>
      <w:r>
        <w:rPr>
          <w:rFonts w:cstheme="minorHAnsi"/>
          <w:b/>
        </w:rPr>
        <w:t>Appendix B: Installation Visuals and Artist Bio</w:t>
      </w:r>
    </w:p>
    <w:p w:rsidR="001E7ECD" w:rsidRDefault="001E7ECD" w:rsidP="0047024E">
      <w:pPr>
        <w:rPr>
          <w:b/>
          <w:sz w:val="24"/>
          <w:szCs w:val="24"/>
        </w:rPr>
      </w:pPr>
    </w:p>
    <w:p w:rsidR="00C94D09" w:rsidRDefault="00C94D09" w:rsidP="0047024E">
      <w:pPr>
        <w:rPr>
          <w:b/>
          <w:sz w:val="24"/>
          <w:szCs w:val="24"/>
        </w:rPr>
      </w:pPr>
      <w:r w:rsidRPr="00667FDE">
        <w:rPr>
          <w:b/>
          <w:sz w:val="24"/>
          <w:szCs w:val="24"/>
        </w:rPr>
        <w:t xml:space="preserve">1 Design and Access Statement </w:t>
      </w:r>
      <w:r w:rsidR="00B04452">
        <w:rPr>
          <w:b/>
          <w:sz w:val="24"/>
          <w:szCs w:val="24"/>
        </w:rPr>
        <w:t>“</w:t>
      </w:r>
      <w:r w:rsidR="003135B5">
        <w:rPr>
          <w:b/>
          <w:sz w:val="24"/>
          <w:szCs w:val="24"/>
        </w:rPr>
        <w:t>Hall for Hull</w:t>
      </w:r>
      <w:r w:rsidR="00B04452">
        <w:rPr>
          <w:b/>
          <w:sz w:val="24"/>
          <w:szCs w:val="24"/>
        </w:rPr>
        <w:t>”</w:t>
      </w:r>
    </w:p>
    <w:p w:rsidR="00667FDE" w:rsidRPr="00667FDE" w:rsidRDefault="00667FDE" w:rsidP="00277E54">
      <w:pPr>
        <w:rPr>
          <w:b/>
        </w:rPr>
      </w:pPr>
      <w:r w:rsidRPr="00667FDE">
        <w:rPr>
          <w:b/>
        </w:rPr>
        <w:t xml:space="preserve">1.1 Proposed Development </w:t>
      </w:r>
    </w:p>
    <w:p w:rsidR="00C94D09" w:rsidRDefault="00C94D09" w:rsidP="00277E54">
      <w:pPr>
        <w:pStyle w:val="ListParagraph"/>
        <w:numPr>
          <w:ilvl w:val="0"/>
          <w:numId w:val="1"/>
        </w:numPr>
      </w:pPr>
      <w:r w:rsidRPr="007854CF">
        <w:rPr>
          <w:b/>
        </w:rPr>
        <w:t>Use</w:t>
      </w:r>
      <w:r>
        <w:t xml:space="preserve"> – The application is for the </w:t>
      </w:r>
      <w:r w:rsidR="00B04452">
        <w:t xml:space="preserve">temporary </w:t>
      </w:r>
      <w:r>
        <w:t xml:space="preserve">use of land </w:t>
      </w:r>
      <w:r w:rsidR="00B04452">
        <w:t xml:space="preserve">in Trinity Square </w:t>
      </w:r>
      <w:r>
        <w:t>for the display of</w:t>
      </w:r>
      <w:r w:rsidR="00B04452">
        <w:t xml:space="preserve"> a temporary installation, which comprises</w:t>
      </w:r>
      <w:r>
        <w:t xml:space="preserve"> sixteen columns with applied artwork, </w:t>
      </w:r>
      <w:r w:rsidR="007854CF">
        <w:t>presented</w:t>
      </w:r>
      <w:r>
        <w:t xml:space="preserve"> in a grid formation. Trinity Square is a</w:t>
      </w:r>
      <w:r w:rsidR="00B04452">
        <w:t xml:space="preserve"> key </w:t>
      </w:r>
      <w:r>
        <w:t xml:space="preserve">open space </w:t>
      </w:r>
      <w:r w:rsidR="00B04452">
        <w:t xml:space="preserve">within the city </w:t>
      </w:r>
      <w:r>
        <w:t>of approximately</w:t>
      </w:r>
      <w:r w:rsidR="007854CF">
        <w:t xml:space="preserve"> </w:t>
      </w:r>
      <w:r w:rsidR="00130A60">
        <w:t xml:space="preserve">2.5ha </w:t>
      </w:r>
      <w:r w:rsidR="007854CF">
        <w:t>and situated in Hull’s ‘Old Town’</w:t>
      </w:r>
      <w:r w:rsidR="00B04452">
        <w:t>.</w:t>
      </w:r>
      <w:r w:rsidR="00C12F85">
        <w:t xml:space="preserve"> </w:t>
      </w:r>
      <w:r w:rsidR="007854CF">
        <w:t>It is identified as a civic space</w:t>
      </w:r>
      <w:r w:rsidR="007854CF">
        <w:rPr>
          <w:rStyle w:val="FootnoteReference"/>
        </w:rPr>
        <w:footnoteReference w:id="1"/>
      </w:r>
      <w:r w:rsidR="007854CF">
        <w:t>, surrounded by multiple uses including visitor destinations, offices</w:t>
      </w:r>
      <w:r w:rsidR="00FE5BAC">
        <w:t xml:space="preserve"> and restaurants,</w:t>
      </w:r>
      <w:r w:rsidR="00B04452">
        <w:t xml:space="preserve"> and dominated by </w:t>
      </w:r>
      <w:r w:rsidR="008329D7">
        <w:t>Hull Minster</w:t>
      </w:r>
      <w:r w:rsidR="00B04452">
        <w:t>.</w:t>
      </w:r>
      <w:r w:rsidR="006B306C">
        <w:t xml:space="preserve">  It is </w:t>
      </w:r>
      <w:r w:rsidR="00E70A81">
        <w:t>proposed</w:t>
      </w:r>
      <w:r w:rsidR="006B306C">
        <w:t xml:space="preserve"> to install ‘Hall for Hull’</w:t>
      </w:r>
      <w:r w:rsidR="00C45E13">
        <w:t>, beginning</w:t>
      </w:r>
      <w:r w:rsidR="006B306C">
        <w:t xml:space="preserve"> from </w:t>
      </w:r>
      <w:r w:rsidR="00E70A81">
        <w:rPr>
          <w:highlight w:val="yellow"/>
        </w:rPr>
        <w:t xml:space="preserve">18 September </w:t>
      </w:r>
      <w:r w:rsidR="00C45E13">
        <w:rPr>
          <w:highlight w:val="yellow"/>
        </w:rPr>
        <w:t>with an official opening 1 October</w:t>
      </w:r>
      <w:r w:rsidR="006B306C" w:rsidRPr="00E70A81">
        <w:rPr>
          <w:highlight w:val="yellow"/>
        </w:rPr>
        <w:t>.</w:t>
      </w:r>
    </w:p>
    <w:p w:rsidR="007854CF" w:rsidRDefault="007854CF" w:rsidP="00277E54">
      <w:pPr>
        <w:pStyle w:val="ListParagraph"/>
        <w:numPr>
          <w:ilvl w:val="0"/>
          <w:numId w:val="1"/>
        </w:numPr>
      </w:pPr>
      <w:r>
        <w:rPr>
          <w:b/>
        </w:rPr>
        <w:t xml:space="preserve">Scale and </w:t>
      </w:r>
      <w:r w:rsidR="00A563D8">
        <w:rPr>
          <w:b/>
        </w:rPr>
        <w:t xml:space="preserve">Materials </w:t>
      </w:r>
      <w:r w:rsidR="001C669A">
        <w:t>–</w:t>
      </w:r>
      <w:r>
        <w:t xml:space="preserve"> </w:t>
      </w:r>
      <w:r w:rsidR="006B306C">
        <w:t xml:space="preserve">‘Hall for Hull’ consists of 16 columns set out in a regular grid across the square, 4 x 4.  </w:t>
      </w:r>
      <w:r w:rsidR="001C669A">
        <w:t>Each column is 2 me</w:t>
      </w:r>
      <w:r w:rsidR="00B04452">
        <w:t>tres in</w:t>
      </w:r>
      <w:r w:rsidR="001C669A">
        <w:t xml:space="preserve"> diameter and 6 met</w:t>
      </w:r>
      <w:r w:rsidR="00B04452">
        <w:t>res</w:t>
      </w:r>
      <w:r w:rsidR="001C669A">
        <w:t xml:space="preserve"> high, </w:t>
      </w:r>
      <w:r w:rsidR="001C669A" w:rsidRPr="00F02C37">
        <w:t xml:space="preserve">weighing </w:t>
      </w:r>
      <w:r w:rsidR="00DB6BE4" w:rsidRPr="00F02C37">
        <w:t>4350</w:t>
      </w:r>
      <w:r w:rsidR="001C669A" w:rsidRPr="00F02C37">
        <w:t>kg,</w:t>
      </w:r>
      <w:r w:rsidR="001C669A">
        <w:t xml:space="preserve"> </w:t>
      </w:r>
      <w:r w:rsidR="001C669A" w:rsidRPr="001C669A">
        <w:t>and to be constructed using a minimal galvanised steel structure</w:t>
      </w:r>
      <w:r w:rsidR="00EE28BD">
        <w:t xml:space="preserve"> (3mm mild steel)</w:t>
      </w:r>
      <w:r w:rsidR="001C669A" w:rsidRPr="001C669A">
        <w:t>,</w:t>
      </w:r>
      <w:r w:rsidR="001C669A">
        <w:t xml:space="preserve"> </w:t>
      </w:r>
      <w:r w:rsidR="001C669A" w:rsidRPr="001C669A">
        <w:t>clad in a thin galvanised</w:t>
      </w:r>
      <w:r w:rsidR="001C669A">
        <w:t xml:space="preserve"> </w:t>
      </w:r>
      <w:r w:rsidR="001C669A" w:rsidRPr="001C669A">
        <w:t>steel mesh</w:t>
      </w:r>
      <w:r w:rsidR="001C669A">
        <w:t>. The grid of sixteen columns occupies 627m</w:t>
      </w:r>
      <w:r w:rsidR="001C669A" w:rsidRPr="001C669A">
        <w:rPr>
          <w:vertAlign w:val="superscript"/>
        </w:rPr>
        <w:t>2</w:t>
      </w:r>
      <w:r w:rsidR="001C669A">
        <w:rPr>
          <w:vertAlign w:val="superscript"/>
        </w:rPr>
        <w:t xml:space="preserve">, </w:t>
      </w:r>
      <w:r w:rsidR="001C669A">
        <w:t xml:space="preserve">fronting </w:t>
      </w:r>
      <w:r w:rsidR="00E75F8C" w:rsidRPr="00F02C37">
        <w:t>Hull</w:t>
      </w:r>
      <w:r w:rsidR="00E75F8C">
        <w:t xml:space="preserve"> </w:t>
      </w:r>
      <w:r w:rsidR="006B306C">
        <w:t>Minster</w:t>
      </w:r>
      <w:r w:rsidR="001C669A">
        <w:t xml:space="preserve"> symmetrically with a 5.68m space in-between</w:t>
      </w:r>
      <w:r w:rsidR="00E1524B">
        <w:t xml:space="preserve"> each column, creating open access across the site and around each columns. </w:t>
      </w:r>
      <w:r w:rsidR="00F04033">
        <w:t>All sixteen columns take up 50.24</w:t>
      </w:r>
      <w:r w:rsidR="00F04033" w:rsidRPr="00F04033">
        <w:t xml:space="preserve"> </w:t>
      </w:r>
      <w:r w:rsidR="00F04033">
        <w:t>m</w:t>
      </w:r>
      <w:r w:rsidR="00F04033" w:rsidRPr="001C669A">
        <w:rPr>
          <w:vertAlign w:val="superscript"/>
        </w:rPr>
        <w:t>2</w:t>
      </w:r>
      <w:r w:rsidR="00F04033">
        <w:rPr>
          <w:vertAlign w:val="superscript"/>
        </w:rPr>
        <w:t xml:space="preserve"> </w:t>
      </w:r>
      <w:r w:rsidR="00F04033">
        <w:t xml:space="preserve">of the square’s paving. </w:t>
      </w:r>
      <w:r w:rsidR="00DB6BE4" w:rsidRPr="00084032">
        <w:t xml:space="preserve">Please see </w:t>
      </w:r>
      <w:r w:rsidR="00DB6BE4" w:rsidRPr="00084032">
        <w:rPr>
          <w:b/>
        </w:rPr>
        <w:t>Appendix C: Structural Engineering Report</w:t>
      </w:r>
    </w:p>
    <w:p w:rsidR="00F04033" w:rsidRDefault="00F04033" w:rsidP="00277E54">
      <w:pPr>
        <w:pStyle w:val="ListParagraph"/>
        <w:numPr>
          <w:ilvl w:val="0"/>
          <w:numId w:val="1"/>
        </w:numPr>
      </w:pPr>
      <w:r>
        <w:rPr>
          <w:b/>
        </w:rPr>
        <w:t xml:space="preserve">Layout and Access </w:t>
      </w:r>
      <w:r>
        <w:t xml:space="preserve">– The layout of the sixteen columns is </w:t>
      </w:r>
      <w:r w:rsidR="00A563D8">
        <w:t xml:space="preserve">a response to the square and its features and in particular to </w:t>
      </w:r>
      <w:r w:rsidR="00C45E13">
        <w:t>Hull Mi</w:t>
      </w:r>
      <w:r w:rsidR="006B306C">
        <w:t>nster</w:t>
      </w:r>
      <w:r>
        <w:t>. The size of the columns</w:t>
      </w:r>
      <w:r w:rsidR="00D35F4F">
        <w:t xml:space="preserve">, individually and as a group, </w:t>
      </w:r>
      <w:r>
        <w:t xml:space="preserve">is proportionate to the scale of </w:t>
      </w:r>
      <w:r w:rsidR="006B306C">
        <w:t>Hull Minster</w:t>
      </w:r>
      <w:r w:rsidR="00D35F4F">
        <w:t>. The location of the temporary columns preserves the visual and functional continuity of the square while highlighting the frontal symmetry to the historical church. With the simple grid of columns it will be possible to</w:t>
      </w:r>
      <w:r w:rsidR="00397CFD">
        <w:t xml:space="preserve"> </w:t>
      </w:r>
      <w:r w:rsidR="00D35F4F">
        <w:t xml:space="preserve">articulate a diverse range of accesses to this </w:t>
      </w:r>
      <w:r w:rsidR="00397CFD">
        <w:t>‘</w:t>
      </w:r>
      <w:r w:rsidR="00D35F4F">
        <w:t>temporal venue</w:t>
      </w:r>
      <w:r w:rsidR="00397CFD">
        <w:t>’, and w</w:t>
      </w:r>
      <w:r w:rsidR="00D35F4F">
        <w:t>ith 2m in diameter and 6m</w:t>
      </w:r>
      <w:r w:rsidR="00397CFD">
        <w:t xml:space="preserve"> </w:t>
      </w:r>
      <w:r w:rsidR="00D35F4F">
        <w:t>in height, every column will be an inhabitable</w:t>
      </w:r>
      <w:r w:rsidR="00397CFD">
        <w:t xml:space="preserve"> </w:t>
      </w:r>
      <w:r w:rsidR="00D35F4F">
        <w:t>vertica</w:t>
      </w:r>
      <w:r w:rsidR="00397CFD">
        <w:t xml:space="preserve">l shaft with one </w:t>
      </w:r>
      <w:r w:rsidR="006B306C">
        <w:t>accessible</w:t>
      </w:r>
      <w:r w:rsidR="00397CFD">
        <w:t xml:space="preserve"> opening. The mesh membrane ensures there are no solid barriers to obstruct views of the square and its surrounding buildings. </w:t>
      </w:r>
      <w:r w:rsidR="00397CFD" w:rsidRPr="00397CFD">
        <w:t>T</w:t>
      </w:r>
      <w:r w:rsidR="00E5701B">
        <w:t xml:space="preserve">rinity Square has recently </w:t>
      </w:r>
      <w:r w:rsidR="00397CFD" w:rsidRPr="00397CFD">
        <w:t>under</w:t>
      </w:r>
      <w:r w:rsidR="00E5701B">
        <w:t>gone</w:t>
      </w:r>
      <w:r w:rsidR="00397CFD" w:rsidRPr="00397CFD">
        <w:t xml:space="preserve"> a programme of works designed to de-clutter the space and open it up with improved access and legibility.</w:t>
      </w:r>
      <w:r w:rsidR="00397CFD">
        <w:t xml:space="preserve"> Particular attention has been paid </w:t>
      </w:r>
      <w:r w:rsidR="00667FDE">
        <w:t xml:space="preserve">to </w:t>
      </w:r>
      <w:r w:rsidR="00397CFD">
        <w:t xml:space="preserve">accommodate the new permanent features within the </w:t>
      </w:r>
      <w:r w:rsidR="00397CFD">
        <w:lastRenderedPageBreak/>
        <w:t xml:space="preserve">grid layout and the columns are sensitively positioned to accommodate the new street furniture </w:t>
      </w:r>
      <w:r w:rsidR="00397CFD" w:rsidRPr="00130A60">
        <w:t xml:space="preserve">and </w:t>
      </w:r>
      <w:r w:rsidR="00397CFD" w:rsidRPr="0047024E">
        <w:t>‘</w:t>
      </w:r>
      <w:r w:rsidR="00E5701B" w:rsidRPr="0047024E">
        <w:t xml:space="preserve">mirror </w:t>
      </w:r>
      <w:r w:rsidR="00397CFD" w:rsidRPr="0047024E">
        <w:t>pools’</w:t>
      </w:r>
      <w:r w:rsidR="00397CFD">
        <w:t>.</w:t>
      </w:r>
    </w:p>
    <w:p w:rsidR="00F04033" w:rsidRDefault="00F04033" w:rsidP="00277E54">
      <w:r w:rsidRPr="00397CFD">
        <w:t xml:space="preserve">The proposed location and access to </w:t>
      </w:r>
      <w:r w:rsidR="009C6E72">
        <w:t>Hall for Hull</w:t>
      </w:r>
      <w:r w:rsidRPr="00397CFD">
        <w:t xml:space="preserve"> is identified below</w:t>
      </w:r>
      <w:r w:rsidR="0047024E">
        <w:t xml:space="preserve"> and noted on accompanying drawings and plans </w:t>
      </w:r>
      <w:r w:rsidR="00FE5BAC">
        <w:rPr>
          <w:b/>
        </w:rPr>
        <w:t>Appendix D: Layout and Elevations</w:t>
      </w:r>
      <w:r w:rsidRPr="00397CFD">
        <w:t>:</w:t>
      </w:r>
      <w:r w:rsidR="00397CFD" w:rsidRPr="00397CFD">
        <w:tab/>
      </w:r>
    </w:p>
    <w:p w:rsidR="00397CFD" w:rsidRDefault="00F14238" w:rsidP="00277E54">
      <w:pPr>
        <w:pStyle w:val="ListParagraph"/>
        <w:numPr>
          <w:ilvl w:val="0"/>
          <w:numId w:val="2"/>
        </w:numPr>
      </w:pPr>
      <w:r>
        <w:t>Access to the artwork via vehicle is by King Street, South Church Side (south of the church) and Posterngate, Trinity House Lane and North Church Side (north of the church).</w:t>
      </w:r>
    </w:p>
    <w:p w:rsidR="00F14238" w:rsidRDefault="00F14238" w:rsidP="00277E54">
      <w:pPr>
        <w:pStyle w:val="ListParagraph"/>
        <w:numPr>
          <w:ilvl w:val="0"/>
          <w:numId w:val="2"/>
        </w:numPr>
      </w:pPr>
      <w:r>
        <w:t>The location of the artwork is situated within the pedestriani</w:t>
      </w:r>
      <w:r w:rsidR="00130A60">
        <w:t>s</w:t>
      </w:r>
      <w:r>
        <w:t xml:space="preserve">ed square, enclosed by </w:t>
      </w:r>
      <w:r w:rsidR="00667FDE">
        <w:t xml:space="preserve">South Church Side (S), a group of retail and office buildings (W), North Church Side (N) and Holy </w:t>
      </w:r>
      <w:r w:rsidR="00BE0FA5">
        <w:t>Hull Minster</w:t>
      </w:r>
      <w:r w:rsidR="00667FDE">
        <w:t xml:space="preserve"> (E). </w:t>
      </w:r>
      <w:r w:rsidR="00667FDE" w:rsidRPr="00667FDE">
        <w:t xml:space="preserve">It is accessible by walking, cycling, driving or train. The train station is a </w:t>
      </w:r>
      <w:r w:rsidR="00A563D8">
        <w:t>10</w:t>
      </w:r>
      <w:r w:rsidR="00A563D8" w:rsidRPr="00667FDE">
        <w:t xml:space="preserve"> </w:t>
      </w:r>
      <w:r w:rsidR="00667FDE" w:rsidRPr="00667FDE">
        <w:t xml:space="preserve">minute walk to the west of </w:t>
      </w:r>
      <w:r w:rsidR="00A563D8">
        <w:t xml:space="preserve">the </w:t>
      </w:r>
      <w:r w:rsidR="00667FDE" w:rsidRPr="00667FDE">
        <w:t>square</w:t>
      </w:r>
    </w:p>
    <w:p w:rsidR="00130A60" w:rsidRPr="00397CFD" w:rsidRDefault="00130A60" w:rsidP="00277E54">
      <w:pPr>
        <w:pStyle w:val="ListParagraph"/>
        <w:numPr>
          <w:ilvl w:val="0"/>
          <w:numId w:val="2"/>
        </w:numPr>
      </w:pPr>
      <w:r>
        <w:t>The layout of the artwork allows for free movement of wheelchairs and prams/buggies between the columns.</w:t>
      </w:r>
    </w:p>
    <w:p w:rsidR="00E5701B" w:rsidRDefault="00E5701B" w:rsidP="00277E54">
      <w:pPr>
        <w:rPr>
          <w:b/>
          <w:highlight w:val="yellow"/>
        </w:rPr>
      </w:pPr>
    </w:p>
    <w:p w:rsidR="00667FDE" w:rsidRDefault="00667FDE" w:rsidP="00277E54">
      <w:pPr>
        <w:rPr>
          <w:b/>
        </w:rPr>
      </w:pPr>
      <w:r w:rsidRPr="0047024E">
        <w:rPr>
          <w:b/>
        </w:rPr>
        <w:t>1.2 Compliance with Planning Policy</w:t>
      </w:r>
      <w:r w:rsidRPr="00667FDE">
        <w:rPr>
          <w:b/>
        </w:rPr>
        <w:t xml:space="preserve"> </w:t>
      </w:r>
    </w:p>
    <w:p w:rsidR="00662A53" w:rsidRPr="0047024E" w:rsidRDefault="00662A53" w:rsidP="00277E54">
      <w:pPr>
        <w:autoSpaceDE w:val="0"/>
        <w:autoSpaceDN w:val="0"/>
        <w:adjustRightInd w:val="0"/>
        <w:spacing w:after="0"/>
        <w:rPr>
          <w:rFonts w:cstheme="minorHAnsi"/>
        </w:rPr>
      </w:pPr>
      <w:r w:rsidRPr="0047024E">
        <w:rPr>
          <w:rFonts w:cstheme="minorHAnsi"/>
          <w:b/>
          <w:bCs/>
        </w:rPr>
        <w:t xml:space="preserve">National Planning Policy Framework </w:t>
      </w:r>
      <w:r w:rsidRPr="0047024E">
        <w:rPr>
          <w:rFonts w:cstheme="minorHAnsi"/>
        </w:rPr>
        <w:t>– The application conforms to the</w:t>
      </w:r>
      <w:r w:rsidR="0047024E" w:rsidRPr="0047024E">
        <w:rPr>
          <w:rFonts w:cstheme="minorHAnsi"/>
        </w:rPr>
        <w:t xml:space="preserve"> </w:t>
      </w:r>
      <w:r w:rsidRPr="0047024E">
        <w:rPr>
          <w:rFonts w:cstheme="minorHAnsi"/>
        </w:rPr>
        <w:t>policies within the NPPF, particularly policy 57 in achieving ‘high quality and</w:t>
      </w:r>
      <w:r w:rsidR="0047024E" w:rsidRPr="0047024E">
        <w:rPr>
          <w:rFonts w:cstheme="minorHAnsi"/>
        </w:rPr>
        <w:t xml:space="preserve"> </w:t>
      </w:r>
      <w:r w:rsidRPr="0047024E">
        <w:rPr>
          <w:rFonts w:cstheme="minorHAnsi"/>
        </w:rPr>
        <w:t xml:space="preserve">inclusive design for all </w:t>
      </w:r>
      <w:r w:rsidR="0047024E" w:rsidRPr="0047024E">
        <w:rPr>
          <w:rFonts w:cstheme="minorHAnsi"/>
        </w:rPr>
        <w:t>d</w:t>
      </w:r>
      <w:r w:rsidRPr="0047024E">
        <w:rPr>
          <w:rFonts w:cstheme="minorHAnsi"/>
        </w:rPr>
        <w:t>evelopment including individual buildings, public and</w:t>
      </w:r>
      <w:r w:rsidR="0047024E" w:rsidRPr="0047024E">
        <w:rPr>
          <w:rFonts w:cstheme="minorHAnsi"/>
        </w:rPr>
        <w:t xml:space="preserve"> </w:t>
      </w:r>
      <w:r w:rsidRPr="0047024E">
        <w:rPr>
          <w:rFonts w:cstheme="minorHAnsi"/>
        </w:rPr>
        <w:t>private spaces…’ The provision of this temporary artwork will create a strong</w:t>
      </w:r>
      <w:r w:rsidR="0047024E" w:rsidRPr="0047024E">
        <w:rPr>
          <w:rFonts w:cstheme="minorHAnsi"/>
        </w:rPr>
        <w:t xml:space="preserve"> </w:t>
      </w:r>
      <w:r w:rsidRPr="0047024E">
        <w:rPr>
          <w:rFonts w:cstheme="minorHAnsi"/>
        </w:rPr>
        <w:t xml:space="preserve">sense of place </w:t>
      </w:r>
      <w:r w:rsidR="0047024E" w:rsidRPr="0047024E">
        <w:rPr>
          <w:rFonts w:cstheme="minorHAnsi"/>
        </w:rPr>
        <w:t>during its temporary installation.</w:t>
      </w:r>
    </w:p>
    <w:p w:rsidR="0047024E" w:rsidRPr="0047024E" w:rsidRDefault="0047024E" w:rsidP="00277E54">
      <w:pPr>
        <w:autoSpaceDE w:val="0"/>
        <w:autoSpaceDN w:val="0"/>
        <w:adjustRightInd w:val="0"/>
        <w:spacing w:after="0"/>
        <w:rPr>
          <w:rFonts w:cstheme="minorHAnsi"/>
        </w:rPr>
      </w:pPr>
    </w:p>
    <w:p w:rsidR="00662A53" w:rsidRPr="0047024E" w:rsidRDefault="00662A53" w:rsidP="00277E54">
      <w:pPr>
        <w:autoSpaceDE w:val="0"/>
        <w:autoSpaceDN w:val="0"/>
        <w:adjustRightInd w:val="0"/>
        <w:spacing w:after="0"/>
        <w:rPr>
          <w:rFonts w:cstheme="minorHAnsi"/>
        </w:rPr>
      </w:pPr>
      <w:r w:rsidRPr="0047024E">
        <w:rPr>
          <w:rFonts w:cstheme="minorHAnsi"/>
          <w:b/>
          <w:bCs/>
        </w:rPr>
        <w:t xml:space="preserve">Hull City Council Saved Local Plan (adopted 2000) </w:t>
      </w:r>
      <w:r w:rsidRPr="0047024E">
        <w:rPr>
          <w:rFonts w:cstheme="minorHAnsi"/>
        </w:rPr>
        <w:t>– The artwork</w:t>
      </w:r>
      <w:r w:rsidR="0047024E" w:rsidRPr="0047024E">
        <w:rPr>
          <w:rFonts w:cstheme="minorHAnsi"/>
        </w:rPr>
        <w:t xml:space="preserve"> </w:t>
      </w:r>
      <w:r w:rsidRPr="0047024E">
        <w:rPr>
          <w:rFonts w:cstheme="minorHAnsi"/>
        </w:rPr>
        <w:t>conforms to the following policies:</w:t>
      </w:r>
      <w:r w:rsidR="0047024E" w:rsidRPr="0047024E">
        <w:rPr>
          <w:rFonts w:cstheme="minorHAnsi"/>
        </w:rPr>
        <w:t xml:space="preserve"> </w:t>
      </w:r>
    </w:p>
    <w:p w:rsidR="00662A53" w:rsidRPr="0047024E" w:rsidRDefault="00662A53" w:rsidP="00277E54">
      <w:pPr>
        <w:autoSpaceDE w:val="0"/>
        <w:autoSpaceDN w:val="0"/>
        <w:adjustRightInd w:val="0"/>
        <w:spacing w:after="0"/>
        <w:rPr>
          <w:rFonts w:cstheme="minorHAnsi"/>
        </w:rPr>
      </w:pPr>
      <w:r w:rsidRPr="0047024E">
        <w:rPr>
          <w:rFonts w:cstheme="minorHAnsi"/>
        </w:rPr>
        <w:t>Policy BE15 (Development providing public art in publicly visible locations)</w:t>
      </w:r>
      <w:r w:rsidR="0047024E" w:rsidRPr="0047024E">
        <w:rPr>
          <w:rFonts w:cstheme="minorHAnsi"/>
        </w:rPr>
        <w:t xml:space="preserve"> </w:t>
      </w:r>
      <w:r w:rsidRPr="0047024E">
        <w:rPr>
          <w:rFonts w:cstheme="minorHAnsi"/>
        </w:rPr>
        <w:t>– The application is public art in a publicly visible place and will enhance the</w:t>
      </w:r>
      <w:r w:rsidR="0047024E" w:rsidRPr="0047024E">
        <w:rPr>
          <w:rFonts w:cstheme="minorHAnsi"/>
        </w:rPr>
        <w:t xml:space="preserve"> </w:t>
      </w:r>
      <w:r w:rsidRPr="0047024E">
        <w:rPr>
          <w:rFonts w:cstheme="minorHAnsi"/>
        </w:rPr>
        <w:t>image of the City.</w:t>
      </w:r>
    </w:p>
    <w:p w:rsidR="0047024E" w:rsidRPr="0047024E" w:rsidRDefault="0047024E" w:rsidP="00277E54">
      <w:pPr>
        <w:autoSpaceDE w:val="0"/>
        <w:autoSpaceDN w:val="0"/>
        <w:adjustRightInd w:val="0"/>
        <w:spacing w:after="0"/>
        <w:rPr>
          <w:rFonts w:cstheme="minorHAnsi"/>
        </w:rPr>
      </w:pPr>
    </w:p>
    <w:p w:rsidR="00662A53" w:rsidRPr="0047024E" w:rsidRDefault="00662A53" w:rsidP="00277E54">
      <w:pPr>
        <w:autoSpaceDE w:val="0"/>
        <w:autoSpaceDN w:val="0"/>
        <w:adjustRightInd w:val="0"/>
        <w:spacing w:after="0"/>
        <w:rPr>
          <w:rFonts w:cstheme="minorHAnsi"/>
          <w:b/>
          <w:bCs/>
        </w:rPr>
      </w:pPr>
      <w:r w:rsidRPr="0047024E">
        <w:rPr>
          <w:rFonts w:cstheme="minorHAnsi"/>
          <w:b/>
          <w:bCs/>
        </w:rPr>
        <w:t>Hull City Council Hull Local Plan (submitted for examination 16</w:t>
      </w:r>
      <w:r w:rsidR="0047024E" w:rsidRPr="0047024E">
        <w:rPr>
          <w:rFonts w:cstheme="minorHAnsi"/>
          <w:b/>
          <w:bCs/>
        </w:rPr>
        <w:t xml:space="preserve"> </w:t>
      </w:r>
      <w:r w:rsidRPr="0047024E">
        <w:rPr>
          <w:rFonts w:cstheme="minorHAnsi"/>
          <w:b/>
          <w:bCs/>
        </w:rPr>
        <w:t>December 2016)</w:t>
      </w:r>
    </w:p>
    <w:p w:rsidR="00662A53" w:rsidRPr="0047024E" w:rsidRDefault="00662A53" w:rsidP="00277E54">
      <w:pPr>
        <w:autoSpaceDE w:val="0"/>
        <w:autoSpaceDN w:val="0"/>
        <w:adjustRightInd w:val="0"/>
        <w:spacing w:after="0"/>
        <w:rPr>
          <w:rFonts w:cstheme="minorHAnsi"/>
        </w:rPr>
      </w:pPr>
      <w:r w:rsidRPr="0047024E">
        <w:rPr>
          <w:rFonts w:cstheme="minorHAnsi"/>
        </w:rPr>
        <w:t>The artwork conforms to the following policies:</w:t>
      </w:r>
    </w:p>
    <w:p w:rsidR="00662A53" w:rsidRPr="0047024E" w:rsidRDefault="00662A53" w:rsidP="00277E54">
      <w:pPr>
        <w:autoSpaceDE w:val="0"/>
        <w:autoSpaceDN w:val="0"/>
        <w:adjustRightInd w:val="0"/>
        <w:spacing w:after="0"/>
        <w:rPr>
          <w:rFonts w:cstheme="minorHAnsi"/>
        </w:rPr>
      </w:pPr>
      <w:r w:rsidRPr="0047024E">
        <w:rPr>
          <w:rFonts w:cstheme="minorHAnsi"/>
        </w:rPr>
        <w:t>Policy 9 - The city centre accommodates a full range of main town centre uses</w:t>
      </w:r>
      <w:r w:rsidR="0047024E" w:rsidRPr="0047024E">
        <w:rPr>
          <w:rFonts w:cstheme="minorHAnsi"/>
        </w:rPr>
        <w:t xml:space="preserve"> and necessary infrastructure</w:t>
      </w:r>
      <w:r w:rsidRPr="0047024E">
        <w:rPr>
          <w:rFonts w:cstheme="minorHAnsi"/>
        </w:rPr>
        <w:t>, to</w:t>
      </w:r>
      <w:r w:rsidR="0047024E" w:rsidRPr="0047024E">
        <w:rPr>
          <w:rFonts w:cstheme="minorHAnsi"/>
        </w:rPr>
        <w:t xml:space="preserve"> </w:t>
      </w:r>
      <w:r w:rsidRPr="0047024E">
        <w:rPr>
          <w:rFonts w:cstheme="minorHAnsi"/>
        </w:rPr>
        <w:t>make Hull a world class visitor destination supporting the UK City of Culture</w:t>
      </w:r>
      <w:r w:rsidR="0047024E" w:rsidRPr="0047024E">
        <w:rPr>
          <w:rFonts w:cstheme="minorHAnsi"/>
        </w:rPr>
        <w:t xml:space="preserve"> </w:t>
      </w:r>
      <w:r w:rsidRPr="0047024E">
        <w:rPr>
          <w:rFonts w:cstheme="minorHAnsi"/>
        </w:rPr>
        <w:t>2017 aims.</w:t>
      </w:r>
    </w:p>
    <w:p w:rsidR="00662A53" w:rsidRPr="0047024E" w:rsidRDefault="00662A53" w:rsidP="00277E54">
      <w:pPr>
        <w:autoSpaceDE w:val="0"/>
        <w:autoSpaceDN w:val="0"/>
        <w:adjustRightInd w:val="0"/>
        <w:spacing w:after="0"/>
        <w:rPr>
          <w:rFonts w:cstheme="minorHAnsi"/>
          <w:b/>
        </w:rPr>
      </w:pPr>
      <w:r w:rsidRPr="0047024E">
        <w:rPr>
          <w:rFonts w:cstheme="minorHAnsi"/>
        </w:rPr>
        <w:t>Policy 14 – The artwork creates an inclusive public space that encourages</w:t>
      </w:r>
      <w:r w:rsidR="0047024E" w:rsidRPr="0047024E">
        <w:rPr>
          <w:rFonts w:cstheme="minorHAnsi"/>
        </w:rPr>
        <w:t xml:space="preserve"> </w:t>
      </w:r>
      <w:r w:rsidRPr="0047024E">
        <w:rPr>
          <w:rFonts w:cstheme="minorHAnsi"/>
        </w:rPr>
        <w:t>community interactions through providing a high quality public realm.</w:t>
      </w:r>
    </w:p>
    <w:p w:rsidR="00667FDE" w:rsidRDefault="00667FDE" w:rsidP="00667FDE">
      <w:pPr>
        <w:rPr>
          <w:sz w:val="24"/>
          <w:szCs w:val="24"/>
        </w:rPr>
      </w:pPr>
    </w:p>
    <w:p w:rsidR="001E7ECD" w:rsidRPr="00D20E19" w:rsidRDefault="001E7ECD" w:rsidP="00D20E19">
      <w:pPr>
        <w:pStyle w:val="ListParagraph"/>
        <w:numPr>
          <w:ilvl w:val="1"/>
          <w:numId w:val="7"/>
        </w:numPr>
        <w:rPr>
          <w:b/>
        </w:rPr>
      </w:pPr>
      <w:r w:rsidRPr="00D20E19">
        <w:rPr>
          <w:b/>
        </w:rPr>
        <w:t>Installation methodology statement</w:t>
      </w:r>
    </w:p>
    <w:p w:rsidR="00D20E19" w:rsidRPr="00D20E19" w:rsidRDefault="00D20E19" w:rsidP="00D20E19">
      <w:pPr>
        <w:rPr>
          <w:rFonts w:ascii="Calibri" w:hAnsi="Calibri"/>
          <w:lang w:eastAsia="en-US"/>
        </w:rPr>
      </w:pPr>
      <w:r w:rsidRPr="00D20E19">
        <w:rPr>
          <w:rFonts w:ascii="Calibri" w:hAnsi="Calibri"/>
          <w:lang w:eastAsia="en-US"/>
        </w:rPr>
        <w:t xml:space="preserve">The installation time scale of four days necessitates erecting four columns per day, with two teams working concurrently. Each installation will reduce the working area available and protection will be applied where point loads are made. </w:t>
      </w:r>
      <w:r>
        <w:rPr>
          <w:rFonts w:ascii="Calibri" w:hAnsi="Calibri"/>
          <w:lang w:eastAsia="en-US"/>
        </w:rPr>
        <w:t>The</w:t>
      </w:r>
      <w:r w:rsidRPr="00D20E19">
        <w:rPr>
          <w:rFonts w:ascii="Calibri" w:hAnsi="Calibri"/>
          <w:lang w:eastAsia="en-US"/>
        </w:rPr>
        <w:t xml:space="preserve"> mirror pools will be avoided and particular attention will be paid to </w:t>
      </w:r>
      <w:r>
        <w:t xml:space="preserve">safeguard the new landscaping. </w:t>
      </w:r>
      <w:r w:rsidRPr="00D20E19">
        <w:rPr>
          <w:rFonts w:ascii="Calibri" w:hAnsi="Calibri"/>
          <w:lang w:eastAsia="en-US"/>
        </w:rPr>
        <w:t xml:space="preserve"> </w:t>
      </w:r>
    </w:p>
    <w:p w:rsidR="00D20E19" w:rsidRDefault="00D20E19" w:rsidP="00D20E19">
      <w:pPr>
        <w:rPr>
          <w:rFonts w:ascii="Calibri" w:hAnsi="Calibri"/>
          <w:lang w:eastAsia="en-US"/>
        </w:rPr>
      </w:pPr>
      <w:r w:rsidRPr="00D20E19">
        <w:rPr>
          <w:rFonts w:ascii="Calibri" w:hAnsi="Calibri"/>
          <w:lang w:eastAsia="en-US"/>
        </w:rPr>
        <w:t xml:space="preserve">Trees and crane boom radii will be assessed and Herras fencing placed around the square. For setting out purposes, it will be necessary to put down all the wooden bases and line them up prior to </w:t>
      </w:r>
      <w:r w:rsidRPr="00D20E19">
        <w:rPr>
          <w:rFonts w:ascii="Calibri" w:hAnsi="Calibri"/>
          <w:lang w:eastAsia="en-US"/>
        </w:rPr>
        <w:lastRenderedPageBreak/>
        <w:t xml:space="preserve">installation of the towers themselves. The plywood base (as reference on </w:t>
      </w:r>
      <w:r w:rsidRPr="00D20E19">
        <w:rPr>
          <w:rFonts w:ascii="Calibri" w:hAnsi="Calibri"/>
          <w:b/>
          <w:lang w:eastAsia="en-US"/>
        </w:rPr>
        <w:t>Appendix C: Structural Engineering Report</w:t>
      </w:r>
      <w:r w:rsidRPr="00D20E19">
        <w:rPr>
          <w:rFonts w:ascii="Calibri" w:hAnsi="Calibri"/>
          <w:lang w:eastAsia="en-US"/>
        </w:rPr>
        <w:t>) will safely protect the new paving from the galvanized steel columns</w:t>
      </w:r>
      <w:r w:rsidR="0019269F">
        <w:rPr>
          <w:rFonts w:ascii="Calibri" w:hAnsi="Calibri"/>
          <w:lang w:eastAsia="en-US"/>
        </w:rPr>
        <w:t>, a material that doesn’t rust</w:t>
      </w:r>
      <w:r w:rsidRPr="00D20E19">
        <w:rPr>
          <w:rFonts w:ascii="Calibri" w:hAnsi="Calibri"/>
          <w:lang w:eastAsia="en-US"/>
        </w:rPr>
        <w:t xml:space="preserve">. </w:t>
      </w:r>
      <w:r>
        <w:t>The design of the bases means that there will be no staining or damage to the stones below</w:t>
      </w:r>
      <w:r>
        <w:rPr>
          <w:rFonts w:ascii="Calibri" w:hAnsi="Calibri"/>
          <w:lang w:eastAsia="en-US"/>
        </w:rPr>
        <w:t>.</w:t>
      </w:r>
    </w:p>
    <w:p w:rsidR="00D20E19" w:rsidRPr="00D20E19" w:rsidRDefault="00D20E19" w:rsidP="00D20E19">
      <w:pPr>
        <w:rPr>
          <w:rFonts w:ascii="Calibri" w:hAnsi="Calibri"/>
          <w:lang w:eastAsia="en-US"/>
        </w:rPr>
      </w:pPr>
      <w:r>
        <w:rPr>
          <w:rFonts w:ascii="Calibri" w:hAnsi="Calibri"/>
          <w:u w:val="single"/>
          <w:lang w:eastAsia="en-US"/>
        </w:rPr>
        <w:t>Installation sequence (single tower):</w:t>
      </w:r>
    </w:p>
    <w:p w:rsidR="00D20E19" w:rsidRDefault="00D20E19" w:rsidP="00D20E19">
      <w:pPr>
        <w:rPr>
          <w:rFonts w:ascii="Calibri" w:hAnsi="Calibri"/>
          <w:lang w:eastAsia="en-US"/>
        </w:rPr>
      </w:pPr>
      <w:r>
        <w:rPr>
          <w:rFonts w:ascii="Calibri" w:hAnsi="Calibri"/>
          <w:lang w:eastAsia="en-US"/>
        </w:rPr>
        <w:t>CNC’d plywood packers to be positioned (all together to check positioning)</w:t>
      </w:r>
      <w:r>
        <w:rPr>
          <w:rFonts w:ascii="Calibri" w:hAnsi="Calibri"/>
          <w:lang w:eastAsia="en-US"/>
        </w:rPr>
        <w:br/>
        <w:t>Lift Steel base plates into position onto plywood packer</w:t>
      </w:r>
      <w:r>
        <w:rPr>
          <w:rFonts w:ascii="Calibri" w:hAnsi="Calibri"/>
          <w:lang w:eastAsia="en-US"/>
        </w:rPr>
        <w:br/>
        <w:t>Lift concrete base plate into position onto steel base plates and secure</w:t>
      </w:r>
      <w:r>
        <w:rPr>
          <w:rFonts w:ascii="Calibri" w:hAnsi="Calibri"/>
          <w:lang w:eastAsia="en-US"/>
        </w:rPr>
        <w:br/>
        <w:t>Place scaffold tower on the concrete base for internal access</w:t>
      </w:r>
      <w:r>
        <w:rPr>
          <w:rFonts w:ascii="Calibri" w:hAnsi="Calibri"/>
          <w:lang w:eastAsia="en-US"/>
        </w:rPr>
        <w:br/>
        <w:t>Lift single panel (1) into position with crane and bolt to base</w:t>
      </w:r>
      <w:r>
        <w:rPr>
          <w:rFonts w:ascii="Calibri" w:hAnsi="Calibri"/>
          <w:lang w:eastAsia="en-US"/>
        </w:rPr>
        <w:br/>
        <w:t>Support first panel with wooden braces from the exterior of the tower</w:t>
      </w:r>
      <w:r>
        <w:rPr>
          <w:rFonts w:ascii="Calibri" w:hAnsi="Calibri"/>
          <w:lang w:eastAsia="en-US"/>
        </w:rPr>
        <w:br/>
        <w:t>Bolt 2 panels together on the floor, along one spine</w:t>
      </w:r>
      <w:r>
        <w:rPr>
          <w:rFonts w:ascii="Calibri" w:hAnsi="Calibri"/>
          <w:lang w:eastAsia="en-US"/>
        </w:rPr>
        <w:br/>
        <w:t>Lift panels (2+3) with crane into position and bolt into the base</w:t>
      </w:r>
      <w:r>
        <w:rPr>
          <w:rFonts w:ascii="Calibri" w:hAnsi="Calibri"/>
          <w:lang w:eastAsia="en-US"/>
        </w:rPr>
        <w:br/>
        <w:t>Bolt panel 2 to panel 3 internally along spine</w:t>
      </w:r>
      <w:r>
        <w:rPr>
          <w:rFonts w:ascii="Calibri" w:hAnsi="Calibri"/>
          <w:lang w:eastAsia="en-US"/>
        </w:rPr>
        <w:br/>
        <w:t>Bolt 2 further panels together on the floor, along one spine</w:t>
      </w:r>
      <w:r>
        <w:rPr>
          <w:rFonts w:ascii="Calibri" w:hAnsi="Calibri"/>
          <w:lang w:eastAsia="en-US"/>
        </w:rPr>
        <w:br/>
        <w:t>Lift panels (4+5) with crane into position and bolt into the base</w:t>
      </w:r>
      <w:r>
        <w:rPr>
          <w:rFonts w:ascii="Calibri" w:hAnsi="Calibri"/>
          <w:lang w:eastAsia="en-US"/>
        </w:rPr>
        <w:br/>
        <w:t>Bolt panel 3 to panel 4 internally along spine</w:t>
      </w:r>
      <w:r>
        <w:rPr>
          <w:rFonts w:ascii="Calibri" w:hAnsi="Calibri"/>
          <w:lang w:eastAsia="en-US"/>
        </w:rPr>
        <w:br/>
        <w:t>Lift panel (6, doorway) into position</w:t>
      </w:r>
      <w:r>
        <w:rPr>
          <w:rFonts w:ascii="Calibri" w:hAnsi="Calibri"/>
          <w:lang w:eastAsia="en-US"/>
        </w:rPr>
        <w:br/>
        <w:t>Bolt panel 6 to panels 5 and 1 internally along spine</w:t>
      </w:r>
      <w:r>
        <w:rPr>
          <w:rFonts w:ascii="Calibri" w:hAnsi="Calibri"/>
          <w:lang w:eastAsia="en-US"/>
        </w:rPr>
        <w:br/>
        <w:t>Lift top supporting ring into position</w:t>
      </w:r>
      <w:r>
        <w:rPr>
          <w:rFonts w:ascii="Calibri" w:hAnsi="Calibri"/>
          <w:lang w:eastAsia="en-US"/>
        </w:rPr>
        <w:br/>
        <w:t>Bolt ring into place.</w:t>
      </w:r>
    </w:p>
    <w:p w:rsidR="00D20E19" w:rsidRDefault="00D20E19" w:rsidP="00D20E19">
      <w:pPr>
        <w:rPr>
          <w:rFonts w:ascii="Calibri" w:hAnsi="Calibri"/>
          <w:b/>
          <w:bCs/>
          <w:u w:val="single"/>
          <w:lang w:eastAsia="en-US"/>
        </w:rPr>
      </w:pPr>
      <w:r>
        <w:rPr>
          <w:rFonts w:ascii="Calibri" w:hAnsi="Calibri"/>
          <w:b/>
          <w:bCs/>
          <w:u w:val="single"/>
          <w:lang w:eastAsia="en-US"/>
        </w:rPr>
        <w:t>Repeat 15 times</w:t>
      </w:r>
    </w:p>
    <w:p w:rsidR="00D20E19" w:rsidRPr="00D20E19" w:rsidRDefault="00D20E19" w:rsidP="00D20E19">
      <w:pPr>
        <w:rPr>
          <w:rFonts w:ascii="Calibri" w:hAnsi="Calibri"/>
          <w:u w:val="single"/>
          <w:lang w:eastAsia="en-US"/>
        </w:rPr>
      </w:pPr>
      <w:r>
        <w:rPr>
          <w:rFonts w:ascii="Calibri" w:hAnsi="Calibri"/>
          <w:u w:val="single"/>
          <w:lang w:eastAsia="en-US"/>
        </w:rPr>
        <w:t>Plant on site</w:t>
      </w:r>
      <w:r>
        <w:rPr>
          <w:rFonts w:ascii="Calibri" w:hAnsi="Calibri"/>
          <w:u w:val="single"/>
          <w:lang w:eastAsia="en-US"/>
        </w:rPr>
        <w:br/>
      </w:r>
      <w:r>
        <w:rPr>
          <w:rFonts w:ascii="Calibri" w:hAnsi="Calibri"/>
          <w:lang w:eastAsia="en-US"/>
        </w:rPr>
        <w:t>2 x mini cranes</w:t>
      </w:r>
      <w:r>
        <w:rPr>
          <w:rFonts w:ascii="Calibri" w:hAnsi="Calibri"/>
          <w:u w:val="single"/>
          <w:lang w:eastAsia="en-US"/>
        </w:rPr>
        <w:br/>
      </w:r>
      <w:r>
        <w:rPr>
          <w:rFonts w:ascii="Calibri" w:hAnsi="Calibri"/>
          <w:lang w:eastAsia="en-US"/>
        </w:rPr>
        <w:t>4 x small cherry pickers</w:t>
      </w:r>
      <w:r>
        <w:rPr>
          <w:rFonts w:ascii="Calibri" w:hAnsi="Calibri"/>
          <w:u w:val="single"/>
          <w:lang w:eastAsia="en-US"/>
        </w:rPr>
        <w:br/>
      </w:r>
      <w:r>
        <w:rPr>
          <w:rFonts w:ascii="Calibri" w:hAnsi="Calibri"/>
          <w:lang w:eastAsia="en-US"/>
        </w:rPr>
        <w:t>1 x fork lift</w:t>
      </w:r>
      <w:r>
        <w:rPr>
          <w:rFonts w:ascii="Calibri" w:hAnsi="Calibri"/>
          <w:u w:val="single"/>
          <w:lang w:eastAsia="en-US"/>
        </w:rPr>
        <w:br/>
      </w:r>
      <w:r>
        <w:rPr>
          <w:rFonts w:ascii="Calibri" w:hAnsi="Calibri"/>
          <w:lang w:eastAsia="en-US"/>
        </w:rPr>
        <w:t>2 x scaffold towers</w:t>
      </w:r>
      <w:r>
        <w:rPr>
          <w:rFonts w:ascii="Calibri" w:hAnsi="Calibri"/>
          <w:u w:val="single"/>
          <w:lang w:eastAsia="en-US"/>
        </w:rPr>
        <w:br/>
      </w:r>
    </w:p>
    <w:p w:rsidR="001E7ECD" w:rsidRPr="00D20E19" w:rsidRDefault="00D20E19" w:rsidP="00D20E19">
      <w:pPr>
        <w:pStyle w:val="ListParagraph"/>
        <w:numPr>
          <w:ilvl w:val="1"/>
          <w:numId w:val="7"/>
        </w:numPr>
        <w:rPr>
          <w:b/>
        </w:rPr>
      </w:pPr>
      <w:r w:rsidRPr="00D20E19">
        <w:rPr>
          <w:b/>
        </w:rPr>
        <w:t>Health and Safety</w:t>
      </w:r>
    </w:p>
    <w:p w:rsidR="00D20E19" w:rsidRPr="00084032" w:rsidRDefault="00084032" w:rsidP="00084032">
      <w:pPr>
        <w:spacing w:after="0"/>
        <w:rPr>
          <w:rFonts w:ascii="Calibri" w:eastAsia="Times New Roman" w:hAnsi="Calibri"/>
          <w:u w:val="single"/>
          <w:lang w:eastAsia="en-US"/>
        </w:rPr>
      </w:pPr>
      <w:r w:rsidRPr="00084032">
        <w:rPr>
          <w:rFonts w:ascii="Calibri" w:eastAsia="Times New Roman" w:hAnsi="Calibri"/>
          <w:u w:val="single"/>
          <w:lang w:eastAsia="en-US"/>
        </w:rPr>
        <w:t>Climbing and other miss-use of the installation</w:t>
      </w:r>
      <w:r w:rsidR="00D20E19" w:rsidRPr="00084032">
        <w:rPr>
          <w:rFonts w:ascii="Calibri" w:eastAsia="Times New Roman" w:hAnsi="Calibri"/>
          <w:u w:val="single"/>
          <w:lang w:eastAsia="en-US"/>
        </w:rPr>
        <w:br/>
      </w:r>
      <w:r w:rsidR="00D20E19" w:rsidRPr="00084032">
        <w:rPr>
          <w:rFonts w:ascii="Calibri" w:hAnsi="Calibri"/>
          <w:lang w:eastAsia="en-US"/>
        </w:rPr>
        <w:t>The columns have</w:t>
      </w:r>
      <w:r w:rsidRPr="00084032">
        <w:rPr>
          <w:rFonts w:ascii="Calibri" w:hAnsi="Calibri"/>
          <w:lang w:eastAsia="en-US"/>
        </w:rPr>
        <w:t xml:space="preserve"> been designed to prevent climbing.  The </w:t>
      </w:r>
      <w:r w:rsidR="00D20E19" w:rsidRPr="00084032">
        <w:rPr>
          <w:rFonts w:ascii="Calibri" w:hAnsi="Calibri"/>
          <w:lang w:eastAsia="en-US"/>
        </w:rPr>
        <w:t xml:space="preserve">3mm steel for the faces </w:t>
      </w:r>
      <w:r w:rsidRPr="00084032">
        <w:rPr>
          <w:rFonts w:ascii="Calibri" w:hAnsi="Calibri"/>
          <w:lang w:eastAsia="en-US"/>
        </w:rPr>
        <w:t>makes it very difficult</w:t>
      </w:r>
      <w:r w:rsidR="00D20E19" w:rsidRPr="00084032">
        <w:rPr>
          <w:rFonts w:ascii="Calibri" w:hAnsi="Calibri"/>
          <w:lang w:eastAsia="en-US"/>
        </w:rPr>
        <w:t xml:space="preserve"> to grip properly </w:t>
      </w:r>
      <w:r w:rsidRPr="00084032">
        <w:rPr>
          <w:rFonts w:ascii="Calibri" w:hAnsi="Calibri"/>
          <w:lang w:eastAsia="en-US"/>
        </w:rPr>
        <w:t xml:space="preserve">with 2/3 fingers to climb them and </w:t>
      </w:r>
      <w:r w:rsidR="00D20E19" w:rsidRPr="00084032">
        <w:rPr>
          <w:rFonts w:ascii="Calibri" w:hAnsi="Calibri"/>
          <w:lang w:eastAsia="en-US"/>
        </w:rPr>
        <w:t xml:space="preserve">normal shoes </w:t>
      </w:r>
      <w:r w:rsidRPr="00084032">
        <w:rPr>
          <w:rFonts w:ascii="Calibri" w:hAnsi="Calibri"/>
          <w:lang w:eastAsia="en-US"/>
        </w:rPr>
        <w:t>will</w:t>
      </w:r>
      <w:r w:rsidR="00D20E19" w:rsidRPr="00084032">
        <w:rPr>
          <w:rFonts w:ascii="Calibri" w:hAnsi="Calibri"/>
          <w:lang w:eastAsia="en-US"/>
        </w:rPr>
        <w:t xml:space="preserve"> offer little grip. </w:t>
      </w:r>
    </w:p>
    <w:p w:rsidR="00D20E19" w:rsidRPr="00084032" w:rsidRDefault="00084032" w:rsidP="00084032">
      <w:pPr>
        <w:rPr>
          <w:rFonts w:ascii="Calibri" w:hAnsi="Calibri"/>
          <w:lang w:eastAsia="en-US"/>
        </w:rPr>
      </w:pPr>
      <w:r w:rsidRPr="00084032">
        <w:rPr>
          <w:rFonts w:ascii="Calibri" w:hAnsi="Calibri"/>
          <w:lang w:eastAsia="en-US"/>
        </w:rPr>
        <w:t xml:space="preserve">Any attempt to climb the structures or other misuse is mitigated by invigilation. </w:t>
      </w:r>
      <w:r w:rsidR="00D20E19" w:rsidRPr="00084032">
        <w:rPr>
          <w:rFonts w:ascii="Calibri" w:hAnsi="Calibri"/>
          <w:lang w:eastAsia="en-US"/>
        </w:rPr>
        <w:t>The square i</w:t>
      </w:r>
      <w:r w:rsidRPr="00084032">
        <w:rPr>
          <w:rFonts w:ascii="Calibri" w:hAnsi="Calibri"/>
          <w:lang w:eastAsia="en-US"/>
        </w:rPr>
        <w:t>s public, and in daylight a</w:t>
      </w:r>
      <w:r w:rsidR="00D20E19" w:rsidRPr="00084032">
        <w:rPr>
          <w:rFonts w:ascii="Calibri" w:hAnsi="Calibri"/>
          <w:lang w:eastAsia="en-US"/>
        </w:rPr>
        <w:t xml:space="preserve"> public presence </w:t>
      </w:r>
      <w:r w:rsidRPr="00084032">
        <w:rPr>
          <w:rFonts w:ascii="Calibri" w:hAnsi="Calibri"/>
          <w:lang w:eastAsia="en-US"/>
        </w:rPr>
        <w:t>will deter misuse whilst security guards invigilate the structures  at night.</w:t>
      </w:r>
    </w:p>
    <w:p w:rsidR="001F1F4F" w:rsidRDefault="00D20E19" w:rsidP="00F02C37">
      <w:pPr>
        <w:rPr>
          <w:rFonts w:ascii="Calibri" w:hAnsi="Calibri"/>
          <w:lang w:eastAsia="en-US"/>
        </w:rPr>
      </w:pPr>
      <w:r w:rsidRPr="00084032">
        <w:rPr>
          <w:rFonts w:ascii="Calibri" w:hAnsi="Calibri"/>
          <w:u w:val="single"/>
          <w:lang w:eastAsia="en-US"/>
        </w:rPr>
        <w:t>Overturning</w:t>
      </w:r>
      <w:r w:rsidR="00084032">
        <w:rPr>
          <w:rFonts w:ascii="Calibri" w:hAnsi="Calibri"/>
          <w:u w:val="single"/>
          <w:lang w:eastAsia="en-US"/>
        </w:rPr>
        <w:br/>
      </w:r>
      <w:r w:rsidR="00084032">
        <w:rPr>
          <w:rFonts w:ascii="Calibri" w:hAnsi="Calibri"/>
          <w:lang w:eastAsia="en-US"/>
        </w:rPr>
        <w:t xml:space="preserve">Each column weights more than four ton, which would require at least 150 people to lift one column at a time. As </w:t>
      </w:r>
      <w:r w:rsidR="00F02C37">
        <w:rPr>
          <w:rFonts w:ascii="Calibri" w:hAnsi="Calibri"/>
          <w:lang w:eastAsia="en-US"/>
        </w:rPr>
        <w:t xml:space="preserve">mentioned </w:t>
      </w:r>
      <w:r w:rsidR="00084032">
        <w:rPr>
          <w:rFonts w:ascii="Calibri" w:hAnsi="Calibri"/>
          <w:lang w:eastAsia="en-US"/>
        </w:rPr>
        <w:t xml:space="preserve">above, security staff will mitigate any antisocial behaviour </w:t>
      </w:r>
      <w:r w:rsidR="00F02C37">
        <w:rPr>
          <w:rFonts w:ascii="Calibri" w:hAnsi="Calibri"/>
          <w:lang w:eastAsia="en-US"/>
        </w:rPr>
        <w:t xml:space="preserve">of </w:t>
      </w:r>
      <w:r w:rsidR="00084032">
        <w:rPr>
          <w:rFonts w:ascii="Calibri" w:hAnsi="Calibri"/>
          <w:lang w:eastAsia="en-US"/>
        </w:rPr>
        <w:t>the public square</w:t>
      </w:r>
      <w:r w:rsidR="00F02C37">
        <w:rPr>
          <w:rFonts w:ascii="Calibri" w:hAnsi="Calibri"/>
          <w:lang w:eastAsia="en-US"/>
        </w:rPr>
        <w:t xml:space="preserve"> while the punched steel will allow wind through to prevent tipping. </w:t>
      </w:r>
      <w:r w:rsidR="001F1F4F">
        <w:rPr>
          <w:rFonts w:ascii="Calibri" w:hAnsi="Calibri"/>
          <w:lang w:eastAsia="en-US"/>
        </w:rPr>
        <w:t xml:space="preserve">The structural engineering report provides detailed calculations to prevent any tipping/overturning.  </w:t>
      </w:r>
    </w:p>
    <w:p w:rsidR="00F02C37" w:rsidRPr="001F1F4F" w:rsidRDefault="00F02C37" w:rsidP="00F02C37">
      <w:pPr>
        <w:rPr>
          <w:rFonts w:ascii="Calibri" w:hAnsi="Calibri"/>
          <w:lang w:eastAsia="en-US"/>
        </w:rPr>
      </w:pPr>
      <w:r w:rsidRPr="00F02C37">
        <w:rPr>
          <w:rFonts w:ascii="Calibri" w:hAnsi="Calibri"/>
          <w:u w:val="single"/>
          <w:lang w:eastAsia="en-US"/>
        </w:rPr>
        <w:t>Lighting</w:t>
      </w:r>
      <w:r w:rsidR="00C12FCA">
        <w:rPr>
          <w:rFonts w:ascii="Calibri" w:hAnsi="Calibri"/>
          <w:u w:val="single"/>
          <w:lang w:eastAsia="en-US"/>
        </w:rPr>
        <w:br/>
      </w:r>
      <w:r>
        <w:rPr>
          <w:rFonts w:ascii="Calibri" w:hAnsi="Calibri"/>
          <w:lang w:eastAsia="en-US"/>
        </w:rPr>
        <w:t xml:space="preserve">Individual columns will cast shadows but the placement of each column, with a distance of nearly 5.7 meter between each, should not cause any sense of darkened enclosure for the square. It has been proposed to utilise the new artificial lighting on the structures at night. </w:t>
      </w:r>
    </w:p>
    <w:p w:rsidR="00C12FCA" w:rsidRDefault="00F02C37" w:rsidP="00C12FCA">
      <w:pPr>
        <w:pStyle w:val="NormalWeb"/>
      </w:pPr>
      <w:r w:rsidRPr="00F02C37">
        <w:rPr>
          <w:color w:val="auto"/>
          <w:u w:val="single"/>
        </w:rPr>
        <w:t>Litter</w:t>
      </w:r>
      <w:r w:rsidR="00C12FCA">
        <w:rPr>
          <w:u w:val="single"/>
        </w:rPr>
        <w:br/>
      </w:r>
      <w:r w:rsidR="00C12FCA">
        <w:t xml:space="preserve">Litter is to pick from in and around the columns, they are accessible for street cleaning. </w:t>
      </w:r>
    </w:p>
    <w:p w:rsidR="00D20E19" w:rsidRPr="00D20E19" w:rsidRDefault="00D20E19" w:rsidP="00D20E19">
      <w:pPr>
        <w:rPr>
          <w:b/>
        </w:rPr>
      </w:pPr>
    </w:p>
    <w:p w:rsidR="00667FDE" w:rsidRPr="0047024E" w:rsidRDefault="00667FDE" w:rsidP="0047024E">
      <w:pPr>
        <w:rPr>
          <w:b/>
          <w:sz w:val="24"/>
          <w:szCs w:val="24"/>
        </w:rPr>
      </w:pPr>
      <w:r w:rsidRPr="0047024E">
        <w:rPr>
          <w:b/>
          <w:sz w:val="24"/>
          <w:szCs w:val="24"/>
        </w:rPr>
        <w:t xml:space="preserve">2 Flood Risk Statement </w:t>
      </w:r>
    </w:p>
    <w:p w:rsidR="00667FDE" w:rsidRPr="00667FDE" w:rsidRDefault="00667FDE" w:rsidP="00667FDE">
      <w:pPr>
        <w:rPr>
          <w:b/>
        </w:rPr>
      </w:pPr>
      <w:r w:rsidRPr="0047024E">
        <w:rPr>
          <w:b/>
        </w:rPr>
        <w:t>2.1 Flood Risk</w:t>
      </w:r>
      <w:r w:rsidRPr="00667FDE">
        <w:rPr>
          <w:b/>
        </w:rPr>
        <w:t xml:space="preserve"> </w:t>
      </w:r>
    </w:p>
    <w:p w:rsidR="00130A60" w:rsidRDefault="00130A60" w:rsidP="00277E54">
      <w:pPr>
        <w:autoSpaceDE w:val="0"/>
        <w:autoSpaceDN w:val="0"/>
        <w:adjustRightInd w:val="0"/>
        <w:spacing w:after="0"/>
        <w:rPr>
          <w:rFonts w:cstheme="minorHAnsi"/>
        </w:rPr>
      </w:pPr>
      <w:r w:rsidRPr="0047024E">
        <w:rPr>
          <w:rFonts w:cstheme="minorHAnsi"/>
        </w:rPr>
        <w:t>The temporary artwork is si</w:t>
      </w:r>
      <w:r w:rsidR="008C22F5" w:rsidRPr="0047024E">
        <w:rPr>
          <w:rFonts w:cstheme="minorHAnsi"/>
        </w:rPr>
        <w:t>tuated within Flood Zone 3a</w:t>
      </w:r>
      <w:r w:rsidRPr="0047024E">
        <w:rPr>
          <w:rFonts w:cstheme="minorHAnsi"/>
        </w:rPr>
        <w:t xml:space="preserve"> as noted in Hull’s</w:t>
      </w:r>
      <w:r w:rsidR="008C22F5">
        <w:rPr>
          <w:rFonts w:cstheme="minorHAnsi"/>
        </w:rPr>
        <w:t xml:space="preserve"> </w:t>
      </w:r>
      <w:r w:rsidRPr="0047024E">
        <w:rPr>
          <w:rFonts w:cstheme="minorHAnsi"/>
        </w:rPr>
        <w:t xml:space="preserve">Strategic Flood Risk Assessment Flood Map. </w:t>
      </w:r>
      <w:r w:rsidR="00BD6BEE">
        <w:rPr>
          <w:rFonts w:cstheme="minorHAnsi"/>
        </w:rPr>
        <w:t>Temporary</w:t>
      </w:r>
      <w:r w:rsidRPr="0047024E">
        <w:rPr>
          <w:rFonts w:cstheme="minorHAnsi"/>
        </w:rPr>
        <w:t xml:space="preserve"> artwork</w:t>
      </w:r>
      <w:r w:rsidR="00BD6BEE">
        <w:rPr>
          <w:rFonts w:cstheme="minorHAnsi"/>
        </w:rPr>
        <w:t>s</w:t>
      </w:r>
      <w:r w:rsidRPr="0047024E">
        <w:rPr>
          <w:rFonts w:cstheme="minorHAnsi"/>
        </w:rPr>
        <w:t xml:space="preserve"> </w:t>
      </w:r>
      <w:r w:rsidR="00BD6BEE">
        <w:rPr>
          <w:rFonts w:cstheme="minorHAnsi"/>
        </w:rPr>
        <w:t>are not specifically listed in</w:t>
      </w:r>
      <w:r w:rsidRPr="0047024E">
        <w:rPr>
          <w:rFonts w:cstheme="minorHAnsi"/>
        </w:rPr>
        <w:t xml:space="preserve"> any specific flood risk vulnerability classification</w:t>
      </w:r>
      <w:r w:rsidR="00BD6BEE">
        <w:rPr>
          <w:rFonts w:cstheme="minorHAnsi"/>
        </w:rPr>
        <w:t>s</w:t>
      </w:r>
      <w:r w:rsidRPr="0047024E">
        <w:rPr>
          <w:rFonts w:cstheme="minorHAnsi"/>
        </w:rPr>
        <w:t xml:space="preserve"> but</w:t>
      </w:r>
      <w:r w:rsidR="00BD6BEE">
        <w:rPr>
          <w:rFonts w:cstheme="minorHAnsi"/>
        </w:rPr>
        <w:t xml:space="preserve"> this work is</w:t>
      </w:r>
      <w:r w:rsidR="000603EF">
        <w:rPr>
          <w:rFonts w:cstheme="minorHAnsi"/>
        </w:rPr>
        <w:t xml:space="preserve"> considered to fall within the “less vulnerable” classification by nature of its temporary display and its construction, and is therefore appropriate development within this flood zone.  </w:t>
      </w:r>
      <w:r w:rsidRPr="0047024E">
        <w:rPr>
          <w:rFonts w:cstheme="minorHAnsi"/>
        </w:rPr>
        <w:t xml:space="preserve"> </w:t>
      </w:r>
    </w:p>
    <w:p w:rsidR="00BD6BEE" w:rsidRPr="0047024E" w:rsidRDefault="00BD6BEE" w:rsidP="00277E54">
      <w:pPr>
        <w:autoSpaceDE w:val="0"/>
        <w:autoSpaceDN w:val="0"/>
        <w:adjustRightInd w:val="0"/>
        <w:spacing w:after="0"/>
        <w:rPr>
          <w:rFonts w:cstheme="minorHAnsi"/>
        </w:rPr>
      </w:pPr>
    </w:p>
    <w:p w:rsidR="00667FDE" w:rsidRPr="0047024E" w:rsidRDefault="000603EF" w:rsidP="00277E54">
      <w:pPr>
        <w:rPr>
          <w:rFonts w:cstheme="minorHAnsi"/>
        </w:rPr>
      </w:pPr>
      <w:r w:rsidRPr="0047024E">
        <w:rPr>
          <w:rFonts w:cstheme="minorHAnsi"/>
        </w:rPr>
        <w:t>The</w:t>
      </w:r>
      <w:r w:rsidR="00130A60" w:rsidRPr="0047024E">
        <w:rPr>
          <w:rFonts w:cstheme="minorHAnsi"/>
        </w:rPr>
        <w:t xml:space="preserve"> artwork will not increase the causes or impact</w:t>
      </w:r>
      <w:r>
        <w:rPr>
          <w:rFonts w:cstheme="minorHAnsi"/>
        </w:rPr>
        <w:t xml:space="preserve"> </w:t>
      </w:r>
      <w:r w:rsidR="00130A60" w:rsidRPr="0047024E">
        <w:rPr>
          <w:rFonts w:cstheme="minorHAnsi"/>
        </w:rPr>
        <w:t xml:space="preserve">of flooding given its </w:t>
      </w:r>
      <w:r w:rsidR="00BD6BEE">
        <w:rPr>
          <w:rFonts w:cstheme="minorHAnsi"/>
        </w:rPr>
        <w:t xml:space="preserve">construction from open </w:t>
      </w:r>
      <w:r>
        <w:rPr>
          <w:rFonts w:cstheme="minorHAnsi"/>
        </w:rPr>
        <w:t xml:space="preserve">mesh steel, which will allow flow of water through the structures.  The securely weighted bases will not allow the works to be moved </w:t>
      </w:r>
      <w:r w:rsidR="00BD6BEE">
        <w:rPr>
          <w:rFonts w:cstheme="minorHAnsi"/>
        </w:rPr>
        <w:t>by flow of water.  These</w:t>
      </w:r>
      <w:r w:rsidR="00BC7262">
        <w:rPr>
          <w:rFonts w:cstheme="minorHAnsi"/>
        </w:rPr>
        <w:t xml:space="preserve"> design and construction </w:t>
      </w:r>
      <w:r w:rsidR="00BD6BEE">
        <w:rPr>
          <w:rFonts w:cstheme="minorHAnsi"/>
        </w:rPr>
        <w:t>features also mean that the artwork w</w:t>
      </w:r>
      <w:r w:rsidR="00BD6BEE" w:rsidRPr="0047024E">
        <w:rPr>
          <w:rFonts w:cstheme="minorHAnsi"/>
        </w:rPr>
        <w:t>ill</w:t>
      </w:r>
      <w:r w:rsidR="00130A60" w:rsidRPr="0047024E">
        <w:rPr>
          <w:rFonts w:cstheme="minorHAnsi"/>
        </w:rPr>
        <w:t xml:space="preserve"> not detract from managing flood risk through the City Centre.</w:t>
      </w:r>
      <w:r w:rsidR="00130A60" w:rsidRPr="0047024E" w:rsidDel="00130A60">
        <w:rPr>
          <w:rFonts w:cstheme="minorHAnsi"/>
        </w:rPr>
        <w:t xml:space="preserve"> </w:t>
      </w:r>
      <w:r w:rsidR="00523065">
        <w:rPr>
          <w:rFonts w:cstheme="minorHAnsi"/>
        </w:rPr>
        <w:br/>
      </w:r>
    </w:p>
    <w:p w:rsidR="00667FDE" w:rsidRPr="00277E54" w:rsidRDefault="00277E54" w:rsidP="00277E54">
      <w:pPr>
        <w:rPr>
          <w:b/>
          <w:sz w:val="24"/>
          <w:szCs w:val="24"/>
        </w:rPr>
      </w:pPr>
      <w:r>
        <w:rPr>
          <w:b/>
          <w:sz w:val="24"/>
          <w:szCs w:val="24"/>
        </w:rPr>
        <w:t xml:space="preserve">3   </w:t>
      </w:r>
      <w:r w:rsidR="00667FDE" w:rsidRPr="00277E54">
        <w:rPr>
          <w:b/>
          <w:sz w:val="24"/>
          <w:szCs w:val="24"/>
        </w:rPr>
        <w:t xml:space="preserve">Heritage Statement </w:t>
      </w:r>
    </w:p>
    <w:p w:rsidR="00667FDE" w:rsidRPr="006A671E" w:rsidRDefault="006A671E" w:rsidP="006A671E">
      <w:pPr>
        <w:rPr>
          <w:b/>
        </w:rPr>
      </w:pPr>
      <w:r>
        <w:rPr>
          <w:b/>
        </w:rPr>
        <w:t xml:space="preserve">3.1 </w:t>
      </w:r>
      <w:r w:rsidR="00667FDE" w:rsidRPr="006A671E">
        <w:rPr>
          <w:b/>
        </w:rPr>
        <w:t xml:space="preserve">Background to project </w:t>
      </w:r>
    </w:p>
    <w:p w:rsidR="006A671E" w:rsidRDefault="006A671E" w:rsidP="006A671E">
      <w:r>
        <w:t xml:space="preserve">Royal Institute for British Architects (RIBA) are submitting </w:t>
      </w:r>
      <w:r w:rsidR="00A563D8">
        <w:t>this</w:t>
      </w:r>
      <w:r>
        <w:t xml:space="preserve"> application for the </w:t>
      </w:r>
      <w:r w:rsidR="00A563D8">
        <w:t xml:space="preserve">temporary </w:t>
      </w:r>
      <w:r>
        <w:t>use of land for the display of a temporary public artwork at Trinity Square, Hull</w:t>
      </w:r>
      <w:r w:rsidR="00A563D8">
        <w:t>, forming part of a jointly commissioned project with Hull 2017</w:t>
      </w:r>
      <w:r>
        <w:t>. The artwork consists of sixteen columns (2 met</w:t>
      </w:r>
      <w:r w:rsidR="00A563D8">
        <w:t>res in</w:t>
      </w:r>
      <w:r>
        <w:t xml:space="preserve"> diameter and 6 met</w:t>
      </w:r>
      <w:r w:rsidR="00A563D8">
        <w:t>res</w:t>
      </w:r>
      <w:r>
        <w:t xml:space="preserve"> in height) placed in a grid formation. Temporary planning permission is sought for a period of </w:t>
      </w:r>
      <w:r w:rsidR="003135B5">
        <w:t>two months</w:t>
      </w:r>
      <w:r>
        <w:t xml:space="preserve">. The artwork </w:t>
      </w:r>
      <w:r w:rsidR="00E5701B">
        <w:t>has been designed</w:t>
      </w:r>
      <w:r>
        <w:t xml:space="preserve"> </w:t>
      </w:r>
      <w:r w:rsidR="002A4A3E">
        <w:t>by</w:t>
      </w:r>
      <w:r>
        <w:t xml:space="preserve"> </w:t>
      </w:r>
      <w:r w:rsidR="002A4A3E">
        <w:t>Chilean</w:t>
      </w:r>
      <w:r>
        <w:t xml:space="preserve"> architecture practice Pezo von Ellrichshausen in collaboration with Swiss artist Felice Varini, selected through an invited competition organised by the RIBA. </w:t>
      </w:r>
      <w:r w:rsidR="003135B5">
        <w:t xml:space="preserve"> </w:t>
      </w:r>
      <w:r w:rsidR="003135B5" w:rsidRPr="00153527">
        <w:rPr>
          <w:rFonts w:cstheme="minorHAnsi"/>
        </w:rPr>
        <w:t>The selection panel</w:t>
      </w:r>
      <w:r w:rsidR="003135B5">
        <w:rPr>
          <w:rFonts w:cstheme="minorHAnsi"/>
        </w:rPr>
        <w:t xml:space="preserve"> for the competition</w:t>
      </w:r>
      <w:r w:rsidR="003135B5" w:rsidRPr="00153527">
        <w:rPr>
          <w:rFonts w:cstheme="minorHAnsi"/>
        </w:rPr>
        <w:t xml:space="preserve"> included representatives from H</w:t>
      </w:r>
      <w:r w:rsidR="00E5701B">
        <w:rPr>
          <w:rFonts w:cstheme="minorHAnsi"/>
        </w:rPr>
        <w:t>ull Minster</w:t>
      </w:r>
      <w:r w:rsidR="003135B5" w:rsidRPr="00153527">
        <w:rPr>
          <w:rFonts w:cstheme="minorHAnsi"/>
        </w:rPr>
        <w:t>, Hull City Council, Hull 2017, RIBA and a number of external advisors from the visual arts and architecture sectors.</w:t>
      </w:r>
    </w:p>
    <w:p w:rsidR="009F1A96" w:rsidRDefault="009F1A96" w:rsidP="009F1A96">
      <w:pPr>
        <w:rPr>
          <w:i/>
        </w:rPr>
      </w:pPr>
      <w:r>
        <w:t xml:space="preserve">The aim of the architect-artist collaboration as laid out in the competition brief was: </w:t>
      </w:r>
      <w:r w:rsidRPr="009F1A96">
        <w:rPr>
          <w:i/>
        </w:rPr>
        <w:t>to commi</w:t>
      </w:r>
      <w:r w:rsidR="002A4A3E">
        <w:rPr>
          <w:i/>
        </w:rPr>
        <w:t>ssion a</w:t>
      </w:r>
      <w:r w:rsidRPr="009F1A96">
        <w:rPr>
          <w:i/>
        </w:rPr>
        <w:t xml:space="preserve"> temporary public artwork intended to be exciting and though-provoking. It should encourage locals to see their city in a new way and cause national and international visitors to discover Hull for the first time. The artwork should take advantage of its city centre location, form a meaningful relationship with its surroundings and fulfil a purpose – it should be a structure with function, not a folly. The commission should offer new and memorable experiences that capture the excitement in Hull during 2017.</w:t>
      </w:r>
    </w:p>
    <w:p w:rsidR="009F1A96" w:rsidRDefault="009F1A96" w:rsidP="009F1A96">
      <w:r>
        <w:t>This temporary public artwork forms part of Look Up, a programme of temporary artworks created for the cit</w:t>
      </w:r>
      <w:r w:rsidR="00E5701B">
        <w:t xml:space="preserve">y centre’s </w:t>
      </w:r>
      <w:r>
        <w:t xml:space="preserve">public spaces and places for </w:t>
      </w:r>
      <w:r w:rsidR="00E5701B">
        <w:t>Hull</w:t>
      </w:r>
      <w:r>
        <w:t xml:space="preserve"> UK City of Culture 2017. </w:t>
      </w:r>
      <w:r w:rsidR="002A4A3E">
        <w:t xml:space="preserve">This artwork, made of galvanised steel is </w:t>
      </w:r>
      <w:r>
        <w:t xml:space="preserve">locally </w:t>
      </w:r>
      <w:r w:rsidR="002A4A3E">
        <w:t>made at Wedge’s galvanizing plant in Hull, and supported by Hull</w:t>
      </w:r>
      <w:r w:rsidR="00E5701B">
        <w:t xml:space="preserve"> </w:t>
      </w:r>
      <w:r w:rsidR="002A4A3E">
        <w:t xml:space="preserve">2017, RIBA, British Council and Wedge. </w:t>
      </w:r>
    </w:p>
    <w:p w:rsidR="009F1A96" w:rsidRDefault="002A4A3E" w:rsidP="009F1A96">
      <w:r>
        <w:t>Th</w:t>
      </w:r>
      <w:r w:rsidR="003135B5">
        <w:t xml:space="preserve">is </w:t>
      </w:r>
      <w:r>
        <w:t xml:space="preserve">public artwork will become a flagship project for the final </w:t>
      </w:r>
      <w:r w:rsidR="003135B5">
        <w:t xml:space="preserve">season “Tell the World” </w:t>
      </w:r>
      <w:r>
        <w:t>as part of Hull 2017.</w:t>
      </w:r>
    </w:p>
    <w:p w:rsidR="001E7ECD" w:rsidRPr="009F1A96" w:rsidRDefault="001E7ECD" w:rsidP="009F1A96"/>
    <w:p w:rsidR="009F1A96" w:rsidRPr="009F1A96" w:rsidRDefault="009F1A96" w:rsidP="009F1A96">
      <w:pPr>
        <w:rPr>
          <w:b/>
        </w:rPr>
      </w:pPr>
      <w:r w:rsidRPr="009F1A96">
        <w:rPr>
          <w:b/>
        </w:rPr>
        <w:t>3.2 About the installation a “Hall for Hull”</w:t>
      </w:r>
      <w:r w:rsidR="002A4A3E">
        <w:rPr>
          <w:b/>
        </w:rPr>
        <w:t xml:space="preserve"> and the artists</w:t>
      </w:r>
    </w:p>
    <w:p w:rsidR="006A671E" w:rsidRDefault="00E5701B" w:rsidP="006A671E">
      <w:r>
        <w:t>Developed in response to the architectural and historical significance</w:t>
      </w:r>
      <w:r w:rsidR="009F1A96">
        <w:t xml:space="preserve"> of H</w:t>
      </w:r>
      <w:r>
        <w:t xml:space="preserve">ull Minster and the </w:t>
      </w:r>
      <w:r w:rsidR="00130A60">
        <w:t>remodelling</w:t>
      </w:r>
      <w:r>
        <w:t xml:space="preserve"> of Trinity Square</w:t>
      </w:r>
      <w:r w:rsidR="009F1A96">
        <w:t xml:space="preserve">, the selected proposal, entitled a “Hall for Hull” is </w:t>
      </w:r>
      <w:r w:rsidR="006A671E">
        <w:t>a monumen</w:t>
      </w:r>
      <w:r w:rsidR="009F1A96">
        <w:t xml:space="preserve">tal hypostyle room, open to the </w:t>
      </w:r>
      <w:r w:rsidR="006A671E">
        <w:t>sky and th</w:t>
      </w:r>
      <w:r w:rsidR="009F1A96">
        <w:t xml:space="preserve">e immediate surroundings. </w:t>
      </w:r>
      <w:r w:rsidR="00130A60">
        <w:t xml:space="preserve">It creates a new space evocative of both </w:t>
      </w:r>
      <w:r w:rsidR="00130A60" w:rsidRPr="00130A60">
        <w:t xml:space="preserve">the </w:t>
      </w:r>
      <w:r w:rsidR="006A671E" w:rsidRPr="0047024E">
        <w:t>origins of arc</w:t>
      </w:r>
      <w:r w:rsidR="009F1A96" w:rsidRPr="0047024E">
        <w:t xml:space="preserve">hitecture </w:t>
      </w:r>
      <w:r w:rsidR="00130A60" w:rsidRPr="0047024E">
        <w:t>and its close</w:t>
      </w:r>
      <w:r w:rsidR="009F1A96" w:rsidRPr="00130A60">
        <w:t xml:space="preserve"> </w:t>
      </w:r>
      <w:r w:rsidR="00130A60" w:rsidRPr="0047024E">
        <w:t>overlaps</w:t>
      </w:r>
      <w:r w:rsidR="00130A60" w:rsidRPr="00130A60">
        <w:t xml:space="preserve"> </w:t>
      </w:r>
      <w:r w:rsidR="00EE28BD" w:rsidRPr="00130A60">
        <w:t xml:space="preserve">with land art and optical </w:t>
      </w:r>
      <w:r w:rsidR="009F1A96" w:rsidRPr="00130A60">
        <w:t xml:space="preserve">art, both </w:t>
      </w:r>
      <w:r w:rsidR="006A671E" w:rsidRPr="0047024E">
        <w:t xml:space="preserve">expressions </w:t>
      </w:r>
      <w:r w:rsidR="009F1A96" w:rsidRPr="0047024E">
        <w:t xml:space="preserve">of the human efforts to find an </w:t>
      </w:r>
      <w:r w:rsidR="006A671E" w:rsidRPr="0047024E">
        <w:t>appropriate balance with nature.</w:t>
      </w:r>
    </w:p>
    <w:p w:rsidR="009F1A96" w:rsidRDefault="002A4A3E" w:rsidP="009F1A96">
      <w:r>
        <w:t xml:space="preserve">The sixteen </w:t>
      </w:r>
      <w:r w:rsidR="00E5701B">
        <w:t>accessible</w:t>
      </w:r>
      <w:r>
        <w:t xml:space="preserve"> </w:t>
      </w:r>
      <w:r w:rsidR="009F1A96">
        <w:t xml:space="preserve">columns are </w:t>
      </w:r>
      <w:r w:rsidR="00E5701B">
        <w:t xml:space="preserve">intended </w:t>
      </w:r>
      <w:r w:rsidR="00F129D9">
        <w:t>to extend</w:t>
      </w:r>
      <w:r>
        <w:t xml:space="preserve"> the </w:t>
      </w:r>
      <w:r w:rsidR="00F129D9">
        <w:t>range of</w:t>
      </w:r>
      <w:r w:rsidR="00130A60">
        <w:t xml:space="preserve"> </w:t>
      </w:r>
      <w:r>
        <w:t xml:space="preserve">potential </w:t>
      </w:r>
      <w:r w:rsidR="009F1A96">
        <w:t>activities a</w:t>
      </w:r>
      <w:r>
        <w:t>nd events</w:t>
      </w:r>
      <w:r w:rsidR="00F129D9">
        <w:t xml:space="preserve"> which take place in the square</w:t>
      </w:r>
      <w:r>
        <w:t xml:space="preserve">: exhibitions could be </w:t>
      </w:r>
      <w:r w:rsidR="009F1A96">
        <w:t>displayed inside every column; they could</w:t>
      </w:r>
      <w:r>
        <w:t xml:space="preserve"> </w:t>
      </w:r>
      <w:r w:rsidR="009F1A96">
        <w:t>function as kiosks for information, local crafts</w:t>
      </w:r>
      <w:r>
        <w:t xml:space="preserve"> </w:t>
      </w:r>
      <w:r w:rsidR="009F1A96">
        <w:t>or flowers; talks could be presented in the</w:t>
      </w:r>
      <w:r>
        <w:t xml:space="preserve"> </w:t>
      </w:r>
      <w:r w:rsidR="009F1A96">
        <w:t>central alley with a magnificent backdrop;</w:t>
      </w:r>
      <w:r>
        <w:t xml:space="preserve"> </w:t>
      </w:r>
      <w:r w:rsidR="009F1A96">
        <w:t>performan</w:t>
      </w:r>
      <w:r>
        <w:t xml:space="preserve">ces, festivals or parties could </w:t>
      </w:r>
      <w:r w:rsidR="009F1A96">
        <w:t xml:space="preserve">happen in </w:t>
      </w:r>
      <w:r>
        <w:t xml:space="preserve">between the columns, meandering </w:t>
      </w:r>
      <w:r w:rsidR="009F1A96">
        <w:t>in countless directions, with differ</w:t>
      </w:r>
      <w:r>
        <w:t xml:space="preserve">ent lighting </w:t>
      </w:r>
      <w:r w:rsidR="009F1A96">
        <w:t>qualities, f</w:t>
      </w:r>
      <w:r>
        <w:t xml:space="preserve">urniture arrangements and sound </w:t>
      </w:r>
      <w:r w:rsidR="009F1A96">
        <w:t>configurations.</w:t>
      </w:r>
      <w:r w:rsidR="002F6946">
        <w:t xml:space="preserve"> The architects/artist are encouraging the city to use the installation actively for purposes defined by the citizens and organisations based in Hull.</w:t>
      </w:r>
    </w:p>
    <w:p w:rsidR="002A4A3E" w:rsidRPr="00C12FCA" w:rsidRDefault="002A4A3E" w:rsidP="002A4A3E">
      <w:r>
        <w:t>The columns</w:t>
      </w:r>
      <w:r w:rsidR="00EE28BD">
        <w:t>,</w:t>
      </w:r>
      <w:r>
        <w:t xml:space="preserve"> constructed in galvanised steel</w:t>
      </w:r>
      <w:r w:rsidR="00EE28BD">
        <w:t>,</w:t>
      </w:r>
      <w:r>
        <w:t xml:space="preserve"> </w:t>
      </w:r>
      <w:r w:rsidR="00EE28BD">
        <w:t>convey</w:t>
      </w:r>
      <w:r>
        <w:t xml:space="preserve"> a sense of silent and graceful presence on the square that will be carefully distorted by Swiss artist Felice Varini. His work</w:t>
      </w:r>
      <w:r w:rsidR="00F129D9">
        <w:t>,</w:t>
      </w:r>
      <w:r>
        <w:t xml:space="preserve"> ‘Three points of view</w:t>
      </w:r>
      <w:r w:rsidR="00F129D9">
        <w:t>’,</w:t>
      </w:r>
      <w:r>
        <w:t xml:space="preserve"> will introduce a delicate colour figure that will redefine the geometry of the rigid grid system, </w:t>
      </w:r>
      <w:r w:rsidRPr="00C12FCA">
        <w:t>challenging the perception of perspective, distance and the very scale of this particular civic setting.</w:t>
      </w:r>
    </w:p>
    <w:p w:rsidR="00130A60" w:rsidRDefault="00130A60" w:rsidP="002A4A3E">
      <w:r w:rsidRPr="00C12FCA">
        <w:t xml:space="preserve">Images of Felice Varini’s proposed artwork </w:t>
      </w:r>
      <w:r w:rsidR="00FE5BAC" w:rsidRPr="00C12FCA">
        <w:t>are illustrated on</w:t>
      </w:r>
      <w:r w:rsidR="002F6946" w:rsidRPr="00C12FCA">
        <w:t xml:space="preserve"> the wooden column models on</w:t>
      </w:r>
      <w:r w:rsidR="00FE5BAC" w:rsidRPr="00C12FCA">
        <w:t xml:space="preserve"> </w:t>
      </w:r>
      <w:r w:rsidR="00FE5BAC" w:rsidRPr="00C12FCA">
        <w:rPr>
          <w:b/>
        </w:rPr>
        <w:t>Appendix E: Artwork</w:t>
      </w:r>
    </w:p>
    <w:p w:rsidR="002A4A3E" w:rsidRDefault="002A4A3E" w:rsidP="009F1A96"/>
    <w:p w:rsidR="00667FDE" w:rsidRDefault="006A671E" w:rsidP="00667FDE">
      <w:pPr>
        <w:rPr>
          <w:b/>
        </w:rPr>
      </w:pPr>
      <w:r w:rsidRPr="00EE28BD">
        <w:rPr>
          <w:b/>
        </w:rPr>
        <w:t>3</w:t>
      </w:r>
      <w:r w:rsidR="009F1A96" w:rsidRPr="00EE28BD">
        <w:rPr>
          <w:b/>
        </w:rPr>
        <w:t>.3</w:t>
      </w:r>
      <w:r w:rsidR="00667FDE" w:rsidRPr="00EE28BD">
        <w:rPr>
          <w:b/>
        </w:rPr>
        <w:t xml:space="preserve"> Location and status of site </w:t>
      </w:r>
    </w:p>
    <w:p w:rsidR="00F129D9" w:rsidRDefault="00EE28BD" w:rsidP="00EE28BD">
      <w:r>
        <w:t xml:space="preserve">The site for this commission is Trinity Square, situated in Hull’s ‘Old Town’.  The square </w:t>
      </w:r>
      <w:r w:rsidR="00F129D9">
        <w:t xml:space="preserve">has recently </w:t>
      </w:r>
      <w:r>
        <w:t xml:space="preserve">  undergo</w:t>
      </w:r>
      <w:r w:rsidR="00F129D9">
        <w:t>ne</w:t>
      </w:r>
      <w:r>
        <w:t xml:space="preserve"> a programme of works designed to de-clutter the space and open it up with improved access and legibility.  </w:t>
      </w:r>
    </w:p>
    <w:p w:rsidR="00EE28BD" w:rsidRDefault="00EE28BD" w:rsidP="00EE28BD">
      <w:r>
        <w:t xml:space="preserve">The square, sometimes referred to as Market Place, is dominated by the grandeur of the west elevation of </w:t>
      </w:r>
      <w:r w:rsidR="00130A60">
        <w:t xml:space="preserve">Hull </w:t>
      </w:r>
      <w:r w:rsidR="00F129D9">
        <w:t>Minster</w:t>
      </w:r>
      <w:r>
        <w:t xml:space="preserve"> and the tower which rises behind it.  </w:t>
      </w:r>
      <w:r w:rsidR="00F129D9">
        <w:t>Hull M</w:t>
      </w:r>
      <w:r w:rsidR="00130A60">
        <w:t>i</w:t>
      </w:r>
      <w:r w:rsidR="00F129D9">
        <w:t>nster</w:t>
      </w:r>
      <w:r>
        <w:t xml:space="preserve"> is one of the greatest town churches of medieval England.   </w:t>
      </w:r>
      <w:r w:rsidR="00F129D9">
        <w:t>I</w:t>
      </w:r>
      <w:r>
        <w:t xml:space="preserve">ts status </w:t>
      </w:r>
      <w:r w:rsidR="00F129D9">
        <w:t xml:space="preserve">has recently </w:t>
      </w:r>
      <w:r>
        <w:t>be</w:t>
      </w:r>
      <w:r w:rsidR="00F129D9">
        <w:t>en</w:t>
      </w:r>
      <w:r>
        <w:t xml:space="preserve"> elevated to that of a Minster, in the year which will also mark the 500th anniversary of the reformation.   An important feature of the improvements programme has been the removal of a Victorian church wall which effectively bisected the public space and separated the church from the square.  The reunification and restoration of this public square opens a range of possibilities for future public use.</w:t>
      </w:r>
    </w:p>
    <w:p w:rsidR="00130A60" w:rsidRPr="00C12FCA" w:rsidRDefault="00EE28BD" w:rsidP="00C12FCA">
      <w:r>
        <w:t>The square is surrounded by an interesting collection of buildings including the Old Grammar School (1583-5), Trinity House (1753-9) complex to the north, The Kingston pub on Trinity Lane Corner and the Edwardian Market Hall (1902-4) on North Church Side.  The names of the streets and lanes which lead into the square reflect something of the city’s history and the square’s place in it – Fish Street, King Street, Posterngate and Market Place.</w:t>
      </w:r>
      <w:r w:rsidR="00C12FCA">
        <w:br/>
      </w:r>
      <w:r w:rsidR="00277E54">
        <w:br/>
      </w:r>
      <w:r w:rsidR="00C12FCA">
        <w:br/>
      </w:r>
      <w:r w:rsidR="00130A60" w:rsidRPr="00062CA5">
        <w:rPr>
          <w:rFonts w:cs="Times"/>
          <w:b/>
          <w:bCs/>
          <w:color w:val="000000" w:themeColor="text1"/>
          <w:lang w:val="en-US"/>
        </w:rPr>
        <w:t xml:space="preserve">3.1 Historical and archaeological background </w:t>
      </w:r>
    </w:p>
    <w:p w:rsidR="00130A60" w:rsidRPr="00062CA5" w:rsidRDefault="00130A60" w:rsidP="00277E54">
      <w:pPr>
        <w:widowControl w:val="0"/>
        <w:autoSpaceDE w:val="0"/>
        <w:autoSpaceDN w:val="0"/>
        <w:adjustRightInd w:val="0"/>
        <w:spacing w:after="240"/>
        <w:rPr>
          <w:rFonts w:cs="Times"/>
          <w:color w:val="000000" w:themeColor="text1"/>
          <w:lang w:val="en-US"/>
        </w:rPr>
      </w:pPr>
      <w:r w:rsidRPr="00062CA5">
        <w:rPr>
          <w:rFonts w:cs="Times"/>
          <w:b/>
          <w:bCs/>
          <w:color w:val="000000" w:themeColor="text1"/>
          <w:lang w:val="en-US"/>
        </w:rPr>
        <w:t xml:space="preserve">3.1.1 History and development of Hull </w:t>
      </w:r>
    </w:p>
    <w:p w:rsidR="00130A60" w:rsidRPr="008D654E" w:rsidRDefault="00130A60" w:rsidP="00277E54">
      <w:pPr>
        <w:widowControl w:val="0"/>
        <w:autoSpaceDE w:val="0"/>
        <w:autoSpaceDN w:val="0"/>
        <w:adjustRightInd w:val="0"/>
        <w:spacing w:after="240"/>
        <w:rPr>
          <w:rFonts w:cs="Times"/>
          <w:lang w:val="en-US"/>
        </w:rPr>
      </w:pPr>
      <w:r w:rsidRPr="008D654E">
        <w:rPr>
          <w:rFonts w:cs="Times New Roman"/>
          <w:lang w:val="en-US"/>
        </w:rPr>
        <w:t xml:space="preserve">Hull is located at a strategic transport nexus, where the rivers of Yorkshire and the East Midlands meet the North Sea. Hull became the major port through which wool from the surrounding areas was exported to Northern Europe. In turn raw materials, mostly timber from the Baltics, were imported into England. Larger vessels anchored in the estuary of the Hull to transfer cargo to and from smaller vessels which then transported goods up the navigable stretches of the various tributaries of the Hull to Beverley and Nottingham, Knottingley, Selby and York. </w:t>
      </w:r>
    </w:p>
    <w:p w:rsidR="00130A60" w:rsidRPr="00277E54" w:rsidRDefault="00130A60" w:rsidP="00277E54">
      <w:pPr>
        <w:widowControl w:val="0"/>
        <w:autoSpaceDE w:val="0"/>
        <w:autoSpaceDN w:val="0"/>
        <w:adjustRightInd w:val="0"/>
        <w:spacing w:after="240"/>
        <w:rPr>
          <w:rFonts w:cs="Times"/>
        </w:rPr>
      </w:pPr>
      <w:r w:rsidRPr="00277E54">
        <w:rPr>
          <w:rFonts w:cs="Times New Roman"/>
        </w:rPr>
        <w:t xml:space="preserve">Hull was already in use as a port in 1293 during King Edward I’s military campaigns in Scotland. Kingston upon Hull was subsequently founded by the grant of a royal charter in 1299. The street layout of late medieval town and its associated defences can be traced through topographic and place name evidence. The town also had a medieval monastic grange and chapel. </w:t>
      </w:r>
    </w:p>
    <w:p w:rsidR="00130A60" w:rsidRPr="008D654E" w:rsidRDefault="00130A60" w:rsidP="00277E54">
      <w:pPr>
        <w:widowControl w:val="0"/>
        <w:autoSpaceDE w:val="0"/>
        <w:autoSpaceDN w:val="0"/>
        <w:adjustRightInd w:val="0"/>
        <w:spacing w:after="240"/>
        <w:rPr>
          <w:rFonts w:cs="Times"/>
          <w:lang w:val="en-US"/>
        </w:rPr>
      </w:pPr>
      <w:r w:rsidRPr="008D654E">
        <w:rPr>
          <w:rFonts w:cs="Times New Roman"/>
          <w:lang w:val="en-US"/>
        </w:rPr>
        <w:t xml:space="preserve">The town has evidence of well-constructed Civil War </w:t>
      </w:r>
      <w:r w:rsidR="00277E54">
        <w:rPr>
          <w:rFonts w:cs="Times New Roman"/>
          <w:lang w:val="en-US"/>
        </w:rPr>
        <w:t>defenc</w:t>
      </w:r>
      <w:r w:rsidR="00277E54" w:rsidRPr="008D654E">
        <w:rPr>
          <w:rFonts w:cs="Times New Roman"/>
          <w:lang w:val="en-US"/>
        </w:rPr>
        <w:t>es</w:t>
      </w:r>
      <w:r w:rsidRPr="008D654E">
        <w:rPr>
          <w:rFonts w:cs="Times New Roman"/>
          <w:lang w:val="en-US"/>
        </w:rPr>
        <w:t xml:space="preserve">, which were erected in the seventeenth century. </w:t>
      </w:r>
    </w:p>
    <w:p w:rsidR="00130A60" w:rsidRPr="008D654E" w:rsidRDefault="00130A60" w:rsidP="00277E54">
      <w:pPr>
        <w:widowControl w:val="0"/>
        <w:autoSpaceDE w:val="0"/>
        <w:autoSpaceDN w:val="0"/>
        <w:adjustRightInd w:val="0"/>
        <w:spacing w:after="240"/>
        <w:rPr>
          <w:rFonts w:cs="Times"/>
          <w:lang w:val="en-US"/>
        </w:rPr>
      </w:pPr>
      <w:r w:rsidRPr="008D654E">
        <w:rPr>
          <w:rFonts w:cs="Times New Roman"/>
          <w:lang w:val="en-US"/>
        </w:rPr>
        <w:t xml:space="preserve">Hull underwent a period of rapid expansion in the late eighteenth and nineteenth centuries. Within the old town, which largely retained its medieval street plan, this involved the infilling of vacant plots, whilst more dramatic expansion occurred to the west of the historic core. This was partly spurred on by a scheme of dock building and land reclamation, and was also conditioned by the arrival of the railways in the early half of the nineteenth century. </w:t>
      </w:r>
    </w:p>
    <w:p w:rsidR="00130A60" w:rsidRPr="008D654E" w:rsidRDefault="00130A60" w:rsidP="00277E54">
      <w:pPr>
        <w:widowControl w:val="0"/>
        <w:autoSpaceDE w:val="0"/>
        <w:autoSpaceDN w:val="0"/>
        <w:adjustRightInd w:val="0"/>
        <w:spacing w:after="240"/>
        <w:rPr>
          <w:rFonts w:cs="Times"/>
          <w:lang w:val="en-US"/>
        </w:rPr>
      </w:pPr>
      <w:r w:rsidRPr="008D654E">
        <w:rPr>
          <w:rFonts w:cs="Times New Roman"/>
          <w:lang w:val="en-US"/>
        </w:rPr>
        <w:t xml:space="preserve">In the twentieth century, much of the residential development west of the City, was then subject to slum clearance and demolition following destruction from bombing during World War II. Across this area, although the mid-nineteenth- century street pattern largely remained, the housing was replaced by industrial and commercial premises to the south of the present A63, and large residential estates to the north. </w:t>
      </w:r>
      <w:r w:rsidR="00C12FCA">
        <w:rPr>
          <w:rFonts w:cs="Times New Roman"/>
          <w:lang w:val="en-US"/>
        </w:rPr>
        <w:br/>
      </w:r>
    </w:p>
    <w:p w:rsidR="00130A60" w:rsidRPr="00062CA5" w:rsidRDefault="00130A60" w:rsidP="00277E54">
      <w:pPr>
        <w:widowControl w:val="0"/>
        <w:autoSpaceDE w:val="0"/>
        <w:autoSpaceDN w:val="0"/>
        <w:adjustRightInd w:val="0"/>
        <w:spacing w:after="240"/>
        <w:rPr>
          <w:rFonts w:cs="Times"/>
          <w:color w:val="000000" w:themeColor="text1"/>
          <w:lang w:val="en-US"/>
        </w:rPr>
      </w:pPr>
      <w:r w:rsidRPr="00062CA5">
        <w:rPr>
          <w:rFonts w:cs="Times"/>
          <w:b/>
          <w:bCs/>
          <w:color w:val="000000" w:themeColor="text1"/>
          <w:lang w:val="en-US"/>
        </w:rPr>
        <w:t xml:space="preserve">3.2 Discussion of the Cultural Heritage resource and potential impacts </w:t>
      </w:r>
    </w:p>
    <w:p w:rsidR="00130A60" w:rsidRPr="00062CA5" w:rsidRDefault="00130A60" w:rsidP="00277E54">
      <w:pPr>
        <w:widowControl w:val="0"/>
        <w:autoSpaceDE w:val="0"/>
        <w:autoSpaceDN w:val="0"/>
        <w:adjustRightInd w:val="0"/>
        <w:spacing w:after="240"/>
        <w:rPr>
          <w:rFonts w:cs="Times"/>
          <w:b/>
          <w:bCs/>
          <w:color w:val="000000" w:themeColor="text1"/>
          <w:lang w:val="en-US"/>
        </w:rPr>
      </w:pPr>
      <w:r w:rsidRPr="00062CA5">
        <w:rPr>
          <w:rFonts w:cs="Times"/>
          <w:b/>
          <w:bCs/>
          <w:color w:val="000000" w:themeColor="text1"/>
          <w:lang w:val="en-US"/>
        </w:rPr>
        <w:t xml:space="preserve">3.2.1 Cultural heritage resource </w:t>
      </w:r>
    </w:p>
    <w:p w:rsidR="000D762F" w:rsidRDefault="00130A60" w:rsidP="00277E54">
      <w:pPr>
        <w:widowControl w:val="0"/>
        <w:autoSpaceDE w:val="0"/>
        <w:autoSpaceDN w:val="0"/>
        <w:adjustRightInd w:val="0"/>
        <w:spacing w:after="240"/>
        <w:rPr>
          <w:rFonts w:cs="Times New Roman"/>
          <w:lang w:val="en-US"/>
        </w:rPr>
      </w:pPr>
      <w:r w:rsidRPr="008D654E">
        <w:rPr>
          <w:rFonts w:cs="Times New Roman"/>
          <w:lang w:val="en-US"/>
        </w:rPr>
        <w:t>The key designated heritage assets as identified from an initial scoping that lie</w:t>
      </w:r>
      <w:r>
        <w:rPr>
          <w:rFonts w:cs="Times New Roman"/>
          <w:lang w:val="en-US"/>
        </w:rPr>
        <w:t xml:space="preserve"> within or adjacent to Trinity </w:t>
      </w:r>
      <w:r w:rsidRPr="008D654E">
        <w:rPr>
          <w:rFonts w:cs="Times New Roman"/>
          <w:lang w:val="en-US"/>
        </w:rPr>
        <w:t xml:space="preserve">Square (see Figure 1) are discussed here briefly. </w:t>
      </w:r>
    </w:p>
    <w:p w:rsidR="000D762F" w:rsidRDefault="000D762F" w:rsidP="00130A60">
      <w:pPr>
        <w:widowControl w:val="0"/>
        <w:autoSpaceDE w:val="0"/>
        <w:autoSpaceDN w:val="0"/>
        <w:adjustRightInd w:val="0"/>
        <w:spacing w:after="240" w:line="360" w:lineRule="atLeast"/>
        <w:rPr>
          <w:rFonts w:cs="Times New Roman"/>
          <w:lang w:val="en-US"/>
        </w:rPr>
      </w:pPr>
      <w:r w:rsidRPr="000D762F">
        <w:rPr>
          <w:rFonts w:cs="Times New Roman"/>
          <w:noProof/>
        </w:rPr>
        <w:drawing>
          <wp:inline distT="0" distB="0" distL="0" distR="0">
            <wp:extent cx="5248275" cy="3198598"/>
            <wp:effectExtent l="0" t="0" r="0" b="1905"/>
            <wp:docPr id="1" name="Picture 1" descr="C:\Users\hazel\Documents\Hull 2017\RIBA\March 2017 onwards\Planning App docs\UC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l\Documents\Hull 2017\RIBA\March 2017 onwards\Planning App docs\UCD[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0275" cy="3199817"/>
                    </a:xfrm>
                    <a:prstGeom prst="rect">
                      <a:avLst/>
                    </a:prstGeom>
                    <a:noFill/>
                    <a:ln>
                      <a:noFill/>
                    </a:ln>
                  </pic:spPr>
                </pic:pic>
              </a:graphicData>
            </a:graphic>
          </wp:inline>
        </w:drawing>
      </w:r>
    </w:p>
    <w:p w:rsidR="000D762F" w:rsidRPr="00277E54" w:rsidRDefault="000D762F" w:rsidP="00277E54">
      <w:pPr>
        <w:widowControl w:val="0"/>
        <w:autoSpaceDE w:val="0"/>
        <w:autoSpaceDN w:val="0"/>
        <w:adjustRightInd w:val="0"/>
        <w:spacing w:after="240"/>
        <w:rPr>
          <w:rFonts w:cs="Times New Roman"/>
        </w:rPr>
      </w:pPr>
      <w:r w:rsidRPr="00277E54">
        <w:rPr>
          <w:rFonts w:cs="Times New Roman"/>
        </w:rPr>
        <w:t>Fig 1 – Listed buildings are coloured red yellow or blue</w:t>
      </w:r>
    </w:p>
    <w:p w:rsidR="00130A60" w:rsidRPr="00277E54" w:rsidRDefault="00130A60" w:rsidP="00277E54">
      <w:pPr>
        <w:widowControl w:val="0"/>
        <w:autoSpaceDE w:val="0"/>
        <w:autoSpaceDN w:val="0"/>
        <w:adjustRightInd w:val="0"/>
        <w:spacing w:after="240"/>
        <w:rPr>
          <w:rFonts w:cs="Times"/>
        </w:rPr>
      </w:pPr>
      <w:r w:rsidRPr="00277E54">
        <w:rPr>
          <w:rFonts w:cs="Times New Roman"/>
        </w:rPr>
        <w:t>Full detailed descriptions as taken from the National Heritage List England</w:t>
      </w:r>
      <w:r w:rsidRPr="00277E54">
        <w:rPr>
          <w:rFonts w:cs="Times New Roman"/>
          <w:position w:val="13"/>
        </w:rPr>
        <w:t xml:space="preserve"> </w:t>
      </w:r>
      <w:r w:rsidRPr="00277E54">
        <w:rPr>
          <w:rFonts w:cs="Times New Roman"/>
        </w:rPr>
        <w:t>(</w:t>
      </w:r>
      <w:r w:rsidR="00FE5BAC" w:rsidRPr="00277E54">
        <w:rPr>
          <w:rFonts w:cs="Times New Roman"/>
        </w:rPr>
        <w:t xml:space="preserve">NHLE) are provided in </w:t>
      </w:r>
      <w:r w:rsidR="00FE5BAC" w:rsidRPr="00277E54">
        <w:rPr>
          <w:rFonts w:cs="Times New Roman"/>
          <w:b/>
        </w:rPr>
        <w:t>Appendix A</w:t>
      </w:r>
      <w:r w:rsidRPr="00277E54">
        <w:rPr>
          <w:rFonts w:cs="Times New Roman"/>
        </w:rPr>
        <w:t xml:space="preserve">. Analysis of the relative significance of the monuments assessed and the impact of the proposal on these are given in Tables 1-13 (see below). </w:t>
      </w:r>
    </w:p>
    <w:p w:rsidR="00130A60" w:rsidRPr="00277E54" w:rsidRDefault="00130A60" w:rsidP="00277E54">
      <w:pPr>
        <w:widowControl w:val="0"/>
        <w:autoSpaceDE w:val="0"/>
        <w:autoSpaceDN w:val="0"/>
        <w:adjustRightInd w:val="0"/>
        <w:spacing w:after="240"/>
        <w:rPr>
          <w:rFonts w:cs="Times"/>
        </w:rPr>
      </w:pPr>
      <w:r w:rsidRPr="00277E54">
        <w:rPr>
          <w:rFonts w:cs="Times New Roman"/>
        </w:rPr>
        <w:t xml:space="preserve">The assets considered are those in the immediate vicinity of Trinity Square with a direct view of ‘Hall for Hull’. There are thirteen listed buildings, two are grade I, one is grade II* and ten are grade II. </w:t>
      </w:r>
    </w:p>
    <w:p w:rsidR="00130A60" w:rsidRPr="00277E54" w:rsidRDefault="00130A60" w:rsidP="00277E54">
      <w:pPr>
        <w:widowControl w:val="0"/>
        <w:autoSpaceDE w:val="0"/>
        <w:autoSpaceDN w:val="0"/>
        <w:adjustRightInd w:val="0"/>
        <w:spacing w:after="240"/>
        <w:rPr>
          <w:rFonts w:cs="Times"/>
          <w:color w:val="000000" w:themeColor="text1"/>
        </w:rPr>
      </w:pPr>
      <w:r w:rsidRPr="00277E54">
        <w:rPr>
          <w:rFonts w:cs="Times"/>
          <w:b/>
          <w:bCs/>
          <w:color w:val="000000" w:themeColor="text1"/>
        </w:rPr>
        <w:t xml:space="preserve">3.2.2 Setting effects from the proposed development </w:t>
      </w:r>
    </w:p>
    <w:p w:rsidR="00130A60" w:rsidRPr="00277E54" w:rsidRDefault="00130A60" w:rsidP="00277E54">
      <w:pPr>
        <w:widowControl w:val="0"/>
        <w:autoSpaceDE w:val="0"/>
        <w:autoSpaceDN w:val="0"/>
        <w:adjustRightInd w:val="0"/>
        <w:spacing w:after="240"/>
        <w:rPr>
          <w:rFonts w:cs="Times"/>
        </w:rPr>
      </w:pPr>
      <w:r w:rsidRPr="00277E54">
        <w:rPr>
          <w:rFonts w:cs="Times New Roman"/>
        </w:rPr>
        <w:t>The methodology adopted to assess the possible impact on setting is that outlined in the Historic England (HE) guidelines ‘The Setting of Heritage Assets Historic Environment Good Practice Advice in Planning: 3, March 2015’ and the guidance in the DMRB Vol. 11 for the assessment of impact on Cultural Heritage. The assets affected are all designated (either Scheduled Monuments or Listed Buildings) and of at least medium significance. They all have a direct view onto Trinity Square.</w:t>
      </w:r>
    </w:p>
    <w:p w:rsidR="00130A60" w:rsidRPr="00277E54" w:rsidRDefault="00130A60" w:rsidP="00277E54">
      <w:pPr>
        <w:widowControl w:val="0"/>
        <w:autoSpaceDE w:val="0"/>
        <w:autoSpaceDN w:val="0"/>
        <w:adjustRightInd w:val="0"/>
        <w:spacing w:after="240"/>
        <w:rPr>
          <w:rFonts w:cs="Times New Roman"/>
        </w:rPr>
      </w:pPr>
      <w:r w:rsidRPr="00277E54">
        <w:rPr>
          <w:rFonts w:cs="Times New Roman"/>
        </w:rPr>
        <w:t>The degree to which the temporary installation of a work of public art will have an impact on the significance of the designated assets affected is assessed as being no more than slight. This is because, despite the work occupying a central position in Trinity Square, its undoubtedly high visual impact is largely negated because it is a temporary installation that will be removed after two months. There is therefore no permanent direct impact on the cultural heritage resource.</w:t>
      </w:r>
    </w:p>
    <w:p w:rsidR="00130A60" w:rsidRPr="00277E54" w:rsidRDefault="00130A60" w:rsidP="00277E54">
      <w:pPr>
        <w:widowControl w:val="0"/>
        <w:autoSpaceDE w:val="0"/>
        <w:autoSpaceDN w:val="0"/>
        <w:adjustRightInd w:val="0"/>
        <w:spacing w:after="240"/>
        <w:rPr>
          <w:rFonts w:cs="Times New Roman"/>
        </w:rPr>
      </w:pPr>
      <w:r w:rsidRPr="00277E54">
        <w:rPr>
          <w:rFonts w:cs="Times New Roman"/>
        </w:rPr>
        <w:t xml:space="preserve">Table 1: Heritage impact assessment: Hull Trinity House, Trinity House Lane </w:t>
      </w:r>
    </w:p>
    <w:tbl>
      <w:tblPr>
        <w:tblStyle w:val="TableGrid"/>
        <w:tblW w:w="0" w:type="auto"/>
        <w:tblLook w:val="04A0" w:firstRow="1" w:lastRow="0" w:firstColumn="1" w:lastColumn="0" w:noHBand="0" w:noVBand="1"/>
      </w:tblPr>
      <w:tblGrid>
        <w:gridCol w:w="1053"/>
        <w:gridCol w:w="899"/>
        <w:gridCol w:w="1282"/>
        <w:gridCol w:w="917"/>
        <w:gridCol w:w="1251"/>
        <w:gridCol w:w="1275"/>
        <w:gridCol w:w="1302"/>
        <w:gridCol w:w="1263"/>
      </w:tblGrid>
      <w:tr w:rsidR="00130A60" w:rsidRPr="0047024E" w:rsidTr="009D6AD4">
        <w:tc>
          <w:tcPr>
            <w:tcW w:w="1618" w:type="dxa"/>
          </w:tcPr>
          <w:p w:rsidR="00130A60" w:rsidRPr="0047024E" w:rsidRDefault="00130A60" w:rsidP="009D6AD4">
            <w:pPr>
              <w:pStyle w:val="NoSpacing"/>
              <w:rPr>
                <w:b/>
                <w:sz w:val="20"/>
                <w:szCs w:val="20"/>
              </w:rPr>
            </w:pPr>
            <w:r w:rsidRPr="0047024E">
              <w:rPr>
                <w:b/>
                <w:sz w:val="20"/>
                <w:szCs w:val="20"/>
              </w:rPr>
              <w:t>NHLE No.</w:t>
            </w:r>
          </w:p>
        </w:tc>
        <w:tc>
          <w:tcPr>
            <w:tcW w:w="1618" w:type="dxa"/>
          </w:tcPr>
          <w:p w:rsidR="00130A60" w:rsidRPr="0047024E" w:rsidRDefault="00130A60" w:rsidP="009D6AD4">
            <w:pPr>
              <w:widowControl w:val="0"/>
              <w:autoSpaceDE w:val="0"/>
              <w:autoSpaceDN w:val="0"/>
              <w:adjustRightInd w:val="0"/>
              <w:spacing w:after="240" w:line="360" w:lineRule="atLeast"/>
              <w:rPr>
                <w:rFonts w:cs="Times"/>
                <w:b/>
                <w:sz w:val="20"/>
                <w:szCs w:val="20"/>
              </w:rPr>
            </w:pPr>
            <w:r w:rsidRPr="0047024E">
              <w:rPr>
                <w:rFonts w:cs="Times"/>
                <w:b/>
                <w:sz w:val="20"/>
                <w:szCs w:val="20"/>
              </w:rPr>
              <w:t>Name</w:t>
            </w:r>
          </w:p>
        </w:tc>
        <w:tc>
          <w:tcPr>
            <w:tcW w:w="1619" w:type="dxa"/>
          </w:tcPr>
          <w:p w:rsidR="00130A60" w:rsidRPr="0047024E" w:rsidRDefault="00130A60" w:rsidP="009D6AD4">
            <w:pPr>
              <w:widowControl w:val="0"/>
              <w:autoSpaceDE w:val="0"/>
              <w:autoSpaceDN w:val="0"/>
              <w:adjustRightInd w:val="0"/>
              <w:spacing w:after="240" w:line="360" w:lineRule="atLeast"/>
              <w:rPr>
                <w:rFonts w:cs="Times"/>
                <w:b/>
                <w:sz w:val="20"/>
                <w:szCs w:val="20"/>
              </w:rPr>
            </w:pPr>
            <w:r w:rsidRPr="0047024E">
              <w:rPr>
                <w:rFonts w:cs="Times"/>
                <w:b/>
                <w:sz w:val="20"/>
                <w:szCs w:val="20"/>
              </w:rPr>
              <w:t>Designation</w:t>
            </w:r>
          </w:p>
        </w:tc>
        <w:tc>
          <w:tcPr>
            <w:tcW w:w="1619" w:type="dxa"/>
          </w:tcPr>
          <w:p w:rsidR="00130A60" w:rsidRPr="0047024E" w:rsidRDefault="00130A60" w:rsidP="009D6AD4">
            <w:pPr>
              <w:pStyle w:val="NoSpacing"/>
              <w:rPr>
                <w:b/>
                <w:sz w:val="20"/>
                <w:szCs w:val="20"/>
              </w:rPr>
            </w:pPr>
            <w:r w:rsidRPr="0047024E">
              <w:rPr>
                <w:b/>
                <w:sz w:val="20"/>
                <w:szCs w:val="20"/>
              </w:rPr>
              <w:t>Period</w:t>
            </w:r>
          </w:p>
        </w:tc>
        <w:tc>
          <w:tcPr>
            <w:tcW w:w="1619" w:type="dxa"/>
          </w:tcPr>
          <w:p w:rsidR="00130A60" w:rsidRPr="0047024E" w:rsidRDefault="00130A60" w:rsidP="009D6AD4">
            <w:pPr>
              <w:pStyle w:val="NoSpacing"/>
              <w:rPr>
                <w:b/>
                <w:sz w:val="20"/>
                <w:szCs w:val="20"/>
              </w:rPr>
            </w:pPr>
            <w:r w:rsidRPr="0047024E">
              <w:rPr>
                <w:b/>
                <w:sz w:val="20"/>
                <w:szCs w:val="20"/>
              </w:rPr>
              <w:t>Summary Description</w:t>
            </w:r>
          </w:p>
        </w:tc>
        <w:tc>
          <w:tcPr>
            <w:tcW w:w="1619" w:type="dxa"/>
          </w:tcPr>
          <w:p w:rsidR="00130A60" w:rsidRPr="0047024E" w:rsidRDefault="00130A60" w:rsidP="009D6AD4">
            <w:pPr>
              <w:pStyle w:val="NoSpacing"/>
              <w:rPr>
                <w:b/>
                <w:sz w:val="20"/>
                <w:szCs w:val="20"/>
              </w:rPr>
            </w:pPr>
            <w:r w:rsidRPr="0047024E">
              <w:rPr>
                <w:b/>
                <w:sz w:val="20"/>
                <w:szCs w:val="20"/>
              </w:rPr>
              <w:t>Significance of asset</w:t>
            </w:r>
          </w:p>
        </w:tc>
        <w:tc>
          <w:tcPr>
            <w:tcW w:w="1619" w:type="dxa"/>
          </w:tcPr>
          <w:p w:rsidR="00130A60" w:rsidRPr="0047024E" w:rsidRDefault="00130A60" w:rsidP="009D6AD4">
            <w:pPr>
              <w:pStyle w:val="NoSpacing"/>
              <w:rPr>
                <w:b/>
                <w:sz w:val="20"/>
                <w:szCs w:val="20"/>
              </w:rPr>
            </w:pPr>
            <w:r w:rsidRPr="0047024E">
              <w:rPr>
                <w:b/>
                <w:sz w:val="20"/>
                <w:szCs w:val="20"/>
              </w:rPr>
              <w:t>Change to Setting</w:t>
            </w:r>
          </w:p>
        </w:tc>
        <w:tc>
          <w:tcPr>
            <w:tcW w:w="1619" w:type="dxa"/>
          </w:tcPr>
          <w:p w:rsidR="00130A60" w:rsidRPr="0047024E" w:rsidRDefault="00130A60" w:rsidP="009D6AD4">
            <w:pPr>
              <w:pStyle w:val="NoSpacing"/>
              <w:rPr>
                <w:b/>
                <w:sz w:val="20"/>
                <w:szCs w:val="20"/>
              </w:rPr>
            </w:pPr>
            <w:r w:rsidRPr="0047024E">
              <w:rPr>
                <w:b/>
                <w:sz w:val="20"/>
                <w:szCs w:val="20"/>
              </w:rPr>
              <w:t>Effect on significance</w:t>
            </w:r>
          </w:p>
        </w:tc>
      </w:tr>
      <w:tr w:rsidR="00130A60" w:rsidRPr="0047024E" w:rsidTr="009D6AD4">
        <w:tc>
          <w:tcPr>
            <w:tcW w:w="1618"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1219563</w:t>
            </w:r>
          </w:p>
        </w:tc>
        <w:tc>
          <w:tcPr>
            <w:tcW w:w="1618" w:type="dxa"/>
          </w:tcPr>
          <w:p w:rsidR="00130A60" w:rsidRPr="0047024E" w:rsidRDefault="00130A60" w:rsidP="009D6AD4">
            <w:pPr>
              <w:pStyle w:val="NoSpacing"/>
              <w:rPr>
                <w:sz w:val="20"/>
                <w:szCs w:val="20"/>
              </w:rPr>
            </w:pPr>
            <w:r w:rsidRPr="0047024E">
              <w:rPr>
                <w:sz w:val="20"/>
                <w:szCs w:val="20"/>
              </w:rPr>
              <w:t>Hull Trinity House</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Grade I</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C18</w:t>
            </w:r>
          </w:p>
        </w:tc>
        <w:tc>
          <w:tcPr>
            <w:tcW w:w="1619" w:type="dxa"/>
          </w:tcPr>
          <w:p w:rsidR="00130A60" w:rsidRPr="0047024E" w:rsidRDefault="00130A60" w:rsidP="009D6AD4">
            <w:pPr>
              <w:pStyle w:val="NoSpacing"/>
              <w:rPr>
                <w:sz w:val="20"/>
                <w:szCs w:val="20"/>
              </w:rPr>
            </w:pPr>
            <w:r w:rsidRPr="0047024E">
              <w:rPr>
                <w:sz w:val="20"/>
                <w:szCs w:val="20"/>
              </w:rPr>
              <w:t>Trinity House, adjoining offices &amp; houses</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High</w:t>
            </w:r>
          </w:p>
        </w:tc>
        <w:tc>
          <w:tcPr>
            <w:tcW w:w="1619" w:type="dxa"/>
          </w:tcPr>
          <w:p w:rsidR="00130A60" w:rsidRPr="0047024E" w:rsidRDefault="00130A60" w:rsidP="009D6AD4">
            <w:pPr>
              <w:pStyle w:val="NoSpacing"/>
              <w:rPr>
                <w:sz w:val="20"/>
                <w:szCs w:val="20"/>
              </w:rPr>
            </w:pPr>
            <w:r w:rsidRPr="0047024E">
              <w:rPr>
                <w:sz w:val="20"/>
                <w:szCs w:val="20"/>
              </w:rPr>
              <w:t>Minor</w:t>
            </w:r>
          </w:p>
          <w:p w:rsidR="00130A60" w:rsidRPr="0047024E" w:rsidRDefault="00130A60" w:rsidP="009D6AD4">
            <w:pPr>
              <w:pStyle w:val="NoSpacing"/>
              <w:rPr>
                <w:sz w:val="20"/>
                <w:szCs w:val="20"/>
              </w:rPr>
            </w:pPr>
            <w:r w:rsidRPr="0047024E">
              <w:rPr>
                <w:sz w:val="20"/>
                <w:szCs w:val="20"/>
              </w:rPr>
              <w:t>(Temporary)</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Medium</w:t>
            </w:r>
          </w:p>
        </w:tc>
      </w:tr>
    </w:tbl>
    <w:p w:rsidR="00130A60" w:rsidRPr="0047024E" w:rsidRDefault="00130A60" w:rsidP="00130A60">
      <w:pPr>
        <w:widowControl w:val="0"/>
        <w:autoSpaceDE w:val="0"/>
        <w:autoSpaceDN w:val="0"/>
        <w:adjustRightInd w:val="0"/>
        <w:spacing w:after="240" w:line="360" w:lineRule="atLeast"/>
        <w:rPr>
          <w:rFonts w:cs="Times"/>
          <w:sz w:val="20"/>
          <w:szCs w:val="20"/>
          <w:lang w:val="en-US"/>
        </w:rPr>
      </w:pPr>
      <w:r w:rsidRPr="0047024E">
        <w:rPr>
          <w:rFonts w:cs="Times"/>
          <w:sz w:val="20"/>
          <w:szCs w:val="20"/>
          <w:lang w:val="en-US"/>
        </w:rPr>
        <w:t xml:space="preserve">Table 2: </w:t>
      </w:r>
      <w:r w:rsidRPr="0047024E">
        <w:rPr>
          <w:rFonts w:cs="Times New Roman"/>
          <w:sz w:val="20"/>
          <w:szCs w:val="20"/>
          <w:lang w:val="en-US"/>
        </w:rPr>
        <w:t>Heritage impact assessment: Warehouse at corner of Robinson Row</w:t>
      </w:r>
    </w:p>
    <w:tbl>
      <w:tblPr>
        <w:tblStyle w:val="TableGrid"/>
        <w:tblW w:w="0" w:type="auto"/>
        <w:tblLook w:val="04A0" w:firstRow="1" w:lastRow="0" w:firstColumn="1" w:lastColumn="0" w:noHBand="0" w:noVBand="1"/>
      </w:tblPr>
      <w:tblGrid>
        <w:gridCol w:w="996"/>
        <w:gridCol w:w="1200"/>
        <w:gridCol w:w="1248"/>
        <w:gridCol w:w="846"/>
        <w:gridCol w:w="1214"/>
        <w:gridCol w:w="1241"/>
        <w:gridCol w:w="1270"/>
        <w:gridCol w:w="1227"/>
      </w:tblGrid>
      <w:tr w:rsidR="00130A60" w:rsidRPr="0047024E" w:rsidTr="009D6AD4">
        <w:tc>
          <w:tcPr>
            <w:tcW w:w="1618" w:type="dxa"/>
          </w:tcPr>
          <w:p w:rsidR="00130A60" w:rsidRPr="0047024E" w:rsidRDefault="00130A60" w:rsidP="009D6AD4">
            <w:pPr>
              <w:pStyle w:val="NoSpacing"/>
              <w:rPr>
                <w:b/>
                <w:sz w:val="20"/>
                <w:szCs w:val="20"/>
              </w:rPr>
            </w:pPr>
            <w:r w:rsidRPr="0047024E">
              <w:rPr>
                <w:b/>
                <w:sz w:val="20"/>
                <w:szCs w:val="20"/>
              </w:rPr>
              <w:t>NHLE No.</w:t>
            </w:r>
          </w:p>
        </w:tc>
        <w:tc>
          <w:tcPr>
            <w:tcW w:w="1618" w:type="dxa"/>
          </w:tcPr>
          <w:p w:rsidR="00130A60" w:rsidRPr="0047024E" w:rsidRDefault="00130A60" w:rsidP="009D6AD4">
            <w:pPr>
              <w:widowControl w:val="0"/>
              <w:autoSpaceDE w:val="0"/>
              <w:autoSpaceDN w:val="0"/>
              <w:adjustRightInd w:val="0"/>
              <w:spacing w:after="240" w:line="360" w:lineRule="atLeast"/>
              <w:rPr>
                <w:rFonts w:cs="Times"/>
                <w:b/>
                <w:sz w:val="20"/>
                <w:szCs w:val="20"/>
              </w:rPr>
            </w:pPr>
            <w:r w:rsidRPr="0047024E">
              <w:rPr>
                <w:rFonts w:cs="Times"/>
                <w:b/>
                <w:sz w:val="20"/>
                <w:szCs w:val="20"/>
              </w:rPr>
              <w:t>Name</w:t>
            </w:r>
          </w:p>
        </w:tc>
        <w:tc>
          <w:tcPr>
            <w:tcW w:w="1619" w:type="dxa"/>
          </w:tcPr>
          <w:p w:rsidR="00130A60" w:rsidRPr="0047024E" w:rsidRDefault="00130A60" w:rsidP="009D6AD4">
            <w:pPr>
              <w:widowControl w:val="0"/>
              <w:autoSpaceDE w:val="0"/>
              <w:autoSpaceDN w:val="0"/>
              <w:adjustRightInd w:val="0"/>
              <w:spacing w:after="240" w:line="360" w:lineRule="atLeast"/>
              <w:rPr>
                <w:rFonts w:cs="Times"/>
                <w:b/>
                <w:sz w:val="20"/>
                <w:szCs w:val="20"/>
              </w:rPr>
            </w:pPr>
            <w:r w:rsidRPr="0047024E">
              <w:rPr>
                <w:rFonts w:cs="Times"/>
                <w:b/>
                <w:sz w:val="20"/>
                <w:szCs w:val="20"/>
              </w:rPr>
              <w:t>Designation</w:t>
            </w:r>
          </w:p>
        </w:tc>
        <w:tc>
          <w:tcPr>
            <w:tcW w:w="1619" w:type="dxa"/>
          </w:tcPr>
          <w:p w:rsidR="00130A60" w:rsidRPr="0047024E" w:rsidRDefault="00130A60" w:rsidP="009D6AD4">
            <w:pPr>
              <w:pStyle w:val="NoSpacing"/>
              <w:rPr>
                <w:b/>
                <w:sz w:val="20"/>
                <w:szCs w:val="20"/>
              </w:rPr>
            </w:pPr>
            <w:r w:rsidRPr="0047024E">
              <w:rPr>
                <w:b/>
                <w:sz w:val="20"/>
                <w:szCs w:val="20"/>
              </w:rPr>
              <w:t>Period</w:t>
            </w:r>
          </w:p>
        </w:tc>
        <w:tc>
          <w:tcPr>
            <w:tcW w:w="1619" w:type="dxa"/>
          </w:tcPr>
          <w:p w:rsidR="00130A60" w:rsidRPr="0047024E" w:rsidRDefault="00130A60" w:rsidP="009D6AD4">
            <w:pPr>
              <w:pStyle w:val="NoSpacing"/>
              <w:rPr>
                <w:b/>
                <w:sz w:val="20"/>
                <w:szCs w:val="20"/>
              </w:rPr>
            </w:pPr>
            <w:r w:rsidRPr="0047024E">
              <w:rPr>
                <w:b/>
                <w:sz w:val="20"/>
                <w:szCs w:val="20"/>
              </w:rPr>
              <w:t>Summary Description</w:t>
            </w:r>
          </w:p>
        </w:tc>
        <w:tc>
          <w:tcPr>
            <w:tcW w:w="1619" w:type="dxa"/>
          </w:tcPr>
          <w:p w:rsidR="00130A60" w:rsidRPr="0047024E" w:rsidRDefault="00130A60" w:rsidP="009D6AD4">
            <w:pPr>
              <w:pStyle w:val="NoSpacing"/>
              <w:rPr>
                <w:b/>
                <w:sz w:val="20"/>
                <w:szCs w:val="20"/>
              </w:rPr>
            </w:pPr>
            <w:r w:rsidRPr="0047024E">
              <w:rPr>
                <w:b/>
                <w:sz w:val="20"/>
                <w:szCs w:val="20"/>
              </w:rPr>
              <w:t>Significance of asset</w:t>
            </w:r>
          </w:p>
        </w:tc>
        <w:tc>
          <w:tcPr>
            <w:tcW w:w="1619" w:type="dxa"/>
          </w:tcPr>
          <w:p w:rsidR="00130A60" w:rsidRPr="0047024E" w:rsidRDefault="00130A60" w:rsidP="009D6AD4">
            <w:pPr>
              <w:pStyle w:val="NoSpacing"/>
              <w:rPr>
                <w:b/>
                <w:sz w:val="20"/>
                <w:szCs w:val="20"/>
              </w:rPr>
            </w:pPr>
            <w:r w:rsidRPr="0047024E">
              <w:rPr>
                <w:b/>
                <w:sz w:val="20"/>
                <w:szCs w:val="20"/>
              </w:rPr>
              <w:t>Change to Setting</w:t>
            </w:r>
          </w:p>
        </w:tc>
        <w:tc>
          <w:tcPr>
            <w:tcW w:w="1619" w:type="dxa"/>
          </w:tcPr>
          <w:p w:rsidR="00130A60" w:rsidRPr="0047024E" w:rsidRDefault="00130A60" w:rsidP="009D6AD4">
            <w:pPr>
              <w:pStyle w:val="NoSpacing"/>
              <w:rPr>
                <w:b/>
                <w:sz w:val="20"/>
                <w:szCs w:val="20"/>
              </w:rPr>
            </w:pPr>
            <w:r w:rsidRPr="0047024E">
              <w:rPr>
                <w:b/>
                <w:sz w:val="20"/>
                <w:szCs w:val="20"/>
              </w:rPr>
              <w:t>Effect on significance</w:t>
            </w:r>
          </w:p>
        </w:tc>
      </w:tr>
      <w:tr w:rsidR="00130A60" w:rsidRPr="0047024E" w:rsidTr="009D6AD4">
        <w:tc>
          <w:tcPr>
            <w:tcW w:w="1618"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1297008</w:t>
            </w:r>
          </w:p>
        </w:tc>
        <w:tc>
          <w:tcPr>
            <w:tcW w:w="1618" w:type="dxa"/>
          </w:tcPr>
          <w:p w:rsidR="00130A60" w:rsidRPr="0047024E" w:rsidRDefault="00130A60" w:rsidP="009D6AD4">
            <w:pPr>
              <w:pStyle w:val="NoSpacing"/>
              <w:rPr>
                <w:sz w:val="20"/>
                <w:szCs w:val="20"/>
              </w:rPr>
            </w:pPr>
            <w:r w:rsidRPr="0047024E">
              <w:rPr>
                <w:sz w:val="20"/>
                <w:szCs w:val="20"/>
              </w:rPr>
              <w:t>Warehouse at corner of Robinson Row</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Grade II</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C19</w:t>
            </w:r>
          </w:p>
        </w:tc>
        <w:tc>
          <w:tcPr>
            <w:tcW w:w="1619" w:type="dxa"/>
          </w:tcPr>
          <w:p w:rsidR="00130A60" w:rsidRPr="0047024E" w:rsidRDefault="00130A60" w:rsidP="009D6AD4">
            <w:pPr>
              <w:pStyle w:val="NoSpacing"/>
              <w:rPr>
                <w:sz w:val="20"/>
                <w:szCs w:val="20"/>
              </w:rPr>
            </w:pPr>
            <w:r w:rsidRPr="0047024E">
              <w:rPr>
                <w:sz w:val="20"/>
                <w:szCs w:val="20"/>
              </w:rPr>
              <w:t>Warehouse</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Medium</w:t>
            </w:r>
          </w:p>
        </w:tc>
        <w:tc>
          <w:tcPr>
            <w:tcW w:w="1619" w:type="dxa"/>
          </w:tcPr>
          <w:p w:rsidR="00130A60" w:rsidRPr="0047024E" w:rsidRDefault="00130A60" w:rsidP="009D6AD4">
            <w:pPr>
              <w:pStyle w:val="NoSpacing"/>
              <w:rPr>
                <w:sz w:val="20"/>
                <w:szCs w:val="20"/>
              </w:rPr>
            </w:pPr>
            <w:r w:rsidRPr="0047024E">
              <w:rPr>
                <w:sz w:val="20"/>
                <w:szCs w:val="20"/>
              </w:rPr>
              <w:t>Minor</w:t>
            </w:r>
          </w:p>
          <w:p w:rsidR="00130A60" w:rsidRPr="0047024E" w:rsidRDefault="00130A60" w:rsidP="009D6AD4">
            <w:pPr>
              <w:pStyle w:val="NoSpacing"/>
              <w:rPr>
                <w:sz w:val="20"/>
                <w:szCs w:val="20"/>
              </w:rPr>
            </w:pPr>
            <w:r w:rsidRPr="0047024E">
              <w:rPr>
                <w:sz w:val="20"/>
                <w:szCs w:val="20"/>
              </w:rPr>
              <w:t>(Temporary)</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Medium</w:t>
            </w:r>
          </w:p>
        </w:tc>
      </w:tr>
    </w:tbl>
    <w:p w:rsidR="00130A60" w:rsidRPr="0047024E" w:rsidRDefault="00130A60" w:rsidP="00130A60">
      <w:pPr>
        <w:widowControl w:val="0"/>
        <w:autoSpaceDE w:val="0"/>
        <w:autoSpaceDN w:val="0"/>
        <w:adjustRightInd w:val="0"/>
        <w:spacing w:after="240" w:line="440" w:lineRule="atLeast"/>
        <w:rPr>
          <w:rFonts w:cs="Times New Roman"/>
          <w:sz w:val="20"/>
          <w:szCs w:val="20"/>
          <w:lang w:val="en-US"/>
        </w:rPr>
      </w:pPr>
      <w:r w:rsidRPr="0047024E">
        <w:rPr>
          <w:rFonts w:cs="Times"/>
          <w:sz w:val="20"/>
          <w:szCs w:val="20"/>
          <w:lang w:val="en-US"/>
        </w:rPr>
        <w:t xml:space="preserve">Table 3: </w:t>
      </w:r>
      <w:r w:rsidRPr="0047024E">
        <w:rPr>
          <w:rFonts w:cs="Times New Roman"/>
          <w:sz w:val="20"/>
          <w:szCs w:val="20"/>
          <w:lang w:val="en-US"/>
        </w:rPr>
        <w:t>Heritage impact assessment: Former Fish Street Day Schools</w:t>
      </w:r>
    </w:p>
    <w:tbl>
      <w:tblPr>
        <w:tblStyle w:val="TableGrid"/>
        <w:tblW w:w="0" w:type="auto"/>
        <w:tblLook w:val="04A0" w:firstRow="1" w:lastRow="0" w:firstColumn="1" w:lastColumn="0" w:noHBand="0" w:noVBand="1"/>
      </w:tblPr>
      <w:tblGrid>
        <w:gridCol w:w="1041"/>
        <w:gridCol w:w="963"/>
        <w:gridCol w:w="1275"/>
        <w:gridCol w:w="902"/>
        <w:gridCol w:w="1243"/>
        <w:gridCol w:w="1268"/>
        <w:gridCol w:w="1295"/>
        <w:gridCol w:w="1255"/>
      </w:tblGrid>
      <w:tr w:rsidR="00130A60" w:rsidRPr="0047024E" w:rsidTr="009D6AD4">
        <w:tc>
          <w:tcPr>
            <w:tcW w:w="1618" w:type="dxa"/>
          </w:tcPr>
          <w:p w:rsidR="00130A60" w:rsidRPr="0047024E" w:rsidRDefault="00130A60" w:rsidP="009D6AD4">
            <w:pPr>
              <w:pStyle w:val="NoSpacing"/>
              <w:rPr>
                <w:b/>
                <w:sz w:val="20"/>
                <w:szCs w:val="20"/>
              </w:rPr>
            </w:pPr>
            <w:r w:rsidRPr="0047024E">
              <w:rPr>
                <w:b/>
                <w:sz w:val="20"/>
                <w:szCs w:val="20"/>
              </w:rPr>
              <w:t>NHLE No.</w:t>
            </w:r>
          </w:p>
        </w:tc>
        <w:tc>
          <w:tcPr>
            <w:tcW w:w="1618" w:type="dxa"/>
          </w:tcPr>
          <w:p w:rsidR="00130A60" w:rsidRPr="0047024E" w:rsidRDefault="00130A60" w:rsidP="009D6AD4">
            <w:pPr>
              <w:widowControl w:val="0"/>
              <w:autoSpaceDE w:val="0"/>
              <w:autoSpaceDN w:val="0"/>
              <w:adjustRightInd w:val="0"/>
              <w:spacing w:after="240" w:line="360" w:lineRule="atLeast"/>
              <w:rPr>
                <w:rFonts w:cs="Times"/>
                <w:b/>
                <w:sz w:val="20"/>
                <w:szCs w:val="20"/>
              </w:rPr>
            </w:pPr>
            <w:r w:rsidRPr="0047024E">
              <w:rPr>
                <w:rFonts w:cs="Times"/>
                <w:b/>
                <w:sz w:val="20"/>
                <w:szCs w:val="20"/>
              </w:rPr>
              <w:t>Name</w:t>
            </w:r>
          </w:p>
        </w:tc>
        <w:tc>
          <w:tcPr>
            <w:tcW w:w="1619" w:type="dxa"/>
          </w:tcPr>
          <w:p w:rsidR="00130A60" w:rsidRPr="0047024E" w:rsidRDefault="00130A60" w:rsidP="009D6AD4">
            <w:pPr>
              <w:widowControl w:val="0"/>
              <w:autoSpaceDE w:val="0"/>
              <w:autoSpaceDN w:val="0"/>
              <w:adjustRightInd w:val="0"/>
              <w:spacing w:after="240" w:line="360" w:lineRule="atLeast"/>
              <w:rPr>
                <w:rFonts w:cs="Times"/>
                <w:b/>
                <w:sz w:val="20"/>
                <w:szCs w:val="20"/>
              </w:rPr>
            </w:pPr>
            <w:r w:rsidRPr="0047024E">
              <w:rPr>
                <w:rFonts w:cs="Times"/>
                <w:b/>
                <w:sz w:val="20"/>
                <w:szCs w:val="20"/>
              </w:rPr>
              <w:t>Designation</w:t>
            </w:r>
          </w:p>
        </w:tc>
        <w:tc>
          <w:tcPr>
            <w:tcW w:w="1619" w:type="dxa"/>
          </w:tcPr>
          <w:p w:rsidR="00130A60" w:rsidRPr="0047024E" w:rsidRDefault="00130A60" w:rsidP="009D6AD4">
            <w:pPr>
              <w:pStyle w:val="NoSpacing"/>
              <w:rPr>
                <w:b/>
                <w:sz w:val="20"/>
                <w:szCs w:val="20"/>
              </w:rPr>
            </w:pPr>
            <w:r w:rsidRPr="0047024E">
              <w:rPr>
                <w:b/>
                <w:sz w:val="20"/>
                <w:szCs w:val="20"/>
              </w:rPr>
              <w:t>Period</w:t>
            </w:r>
          </w:p>
        </w:tc>
        <w:tc>
          <w:tcPr>
            <w:tcW w:w="1619" w:type="dxa"/>
          </w:tcPr>
          <w:p w:rsidR="00130A60" w:rsidRPr="0047024E" w:rsidRDefault="00130A60" w:rsidP="009D6AD4">
            <w:pPr>
              <w:pStyle w:val="NoSpacing"/>
              <w:rPr>
                <w:b/>
                <w:sz w:val="20"/>
                <w:szCs w:val="20"/>
              </w:rPr>
            </w:pPr>
            <w:r w:rsidRPr="0047024E">
              <w:rPr>
                <w:b/>
                <w:sz w:val="20"/>
                <w:szCs w:val="20"/>
              </w:rPr>
              <w:t>Summary Description</w:t>
            </w:r>
          </w:p>
        </w:tc>
        <w:tc>
          <w:tcPr>
            <w:tcW w:w="1619" w:type="dxa"/>
          </w:tcPr>
          <w:p w:rsidR="00130A60" w:rsidRPr="0047024E" w:rsidRDefault="00130A60" w:rsidP="009D6AD4">
            <w:pPr>
              <w:pStyle w:val="NoSpacing"/>
              <w:rPr>
                <w:b/>
                <w:sz w:val="20"/>
                <w:szCs w:val="20"/>
              </w:rPr>
            </w:pPr>
            <w:r w:rsidRPr="0047024E">
              <w:rPr>
                <w:b/>
                <w:sz w:val="20"/>
                <w:szCs w:val="20"/>
              </w:rPr>
              <w:t>Significance of asset</w:t>
            </w:r>
          </w:p>
        </w:tc>
        <w:tc>
          <w:tcPr>
            <w:tcW w:w="1619" w:type="dxa"/>
          </w:tcPr>
          <w:p w:rsidR="00130A60" w:rsidRPr="0047024E" w:rsidRDefault="00130A60" w:rsidP="009D6AD4">
            <w:pPr>
              <w:pStyle w:val="NoSpacing"/>
              <w:rPr>
                <w:b/>
                <w:sz w:val="20"/>
                <w:szCs w:val="20"/>
              </w:rPr>
            </w:pPr>
            <w:r w:rsidRPr="0047024E">
              <w:rPr>
                <w:b/>
                <w:sz w:val="20"/>
                <w:szCs w:val="20"/>
              </w:rPr>
              <w:t>Change to Setting</w:t>
            </w:r>
          </w:p>
        </w:tc>
        <w:tc>
          <w:tcPr>
            <w:tcW w:w="1619" w:type="dxa"/>
          </w:tcPr>
          <w:p w:rsidR="00130A60" w:rsidRPr="0047024E" w:rsidRDefault="00130A60" w:rsidP="009D6AD4">
            <w:pPr>
              <w:pStyle w:val="NoSpacing"/>
              <w:rPr>
                <w:b/>
                <w:sz w:val="20"/>
                <w:szCs w:val="20"/>
              </w:rPr>
            </w:pPr>
            <w:r w:rsidRPr="0047024E">
              <w:rPr>
                <w:b/>
                <w:sz w:val="20"/>
                <w:szCs w:val="20"/>
              </w:rPr>
              <w:t>Effect on significance</w:t>
            </w:r>
          </w:p>
        </w:tc>
      </w:tr>
      <w:tr w:rsidR="00130A60" w:rsidRPr="0047024E" w:rsidTr="009D6AD4">
        <w:tc>
          <w:tcPr>
            <w:tcW w:w="1618"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1197658</w:t>
            </w:r>
          </w:p>
        </w:tc>
        <w:tc>
          <w:tcPr>
            <w:tcW w:w="1618" w:type="dxa"/>
          </w:tcPr>
          <w:p w:rsidR="00130A60" w:rsidRPr="0047024E" w:rsidRDefault="00130A60" w:rsidP="009D6AD4">
            <w:pPr>
              <w:pStyle w:val="NoSpacing"/>
              <w:rPr>
                <w:sz w:val="20"/>
                <w:szCs w:val="20"/>
              </w:rPr>
            </w:pPr>
            <w:r w:rsidRPr="0047024E">
              <w:rPr>
                <w:sz w:val="20"/>
                <w:szCs w:val="20"/>
              </w:rPr>
              <w:t>Former Fish St Day Schools</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Grade II</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C19</w:t>
            </w:r>
          </w:p>
        </w:tc>
        <w:tc>
          <w:tcPr>
            <w:tcW w:w="1619" w:type="dxa"/>
          </w:tcPr>
          <w:p w:rsidR="00130A60" w:rsidRPr="0047024E" w:rsidRDefault="00130A60" w:rsidP="009D6AD4">
            <w:pPr>
              <w:pStyle w:val="NoSpacing"/>
              <w:rPr>
                <w:sz w:val="20"/>
                <w:szCs w:val="20"/>
              </w:rPr>
            </w:pPr>
            <w:r w:rsidRPr="0047024E">
              <w:rPr>
                <w:sz w:val="20"/>
                <w:szCs w:val="20"/>
              </w:rPr>
              <w:t>Former school</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Medium</w:t>
            </w:r>
          </w:p>
        </w:tc>
        <w:tc>
          <w:tcPr>
            <w:tcW w:w="1619" w:type="dxa"/>
          </w:tcPr>
          <w:p w:rsidR="00130A60" w:rsidRPr="0047024E" w:rsidRDefault="00130A60" w:rsidP="009D6AD4">
            <w:pPr>
              <w:pStyle w:val="NoSpacing"/>
              <w:rPr>
                <w:sz w:val="20"/>
                <w:szCs w:val="20"/>
              </w:rPr>
            </w:pPr>
            <w:r w:rsidRPr="0047024E">
              <w:rPr>
                <w:sz w:val="20"/>
                <w:szCs w:val="20"/>
              </w:rPr>
              <w:t>Minor</w:t>
            </w:r>
          </w:p>
          <w:p w:rsidR="00130A60" w:rsidRPr="0047024E" w:rsidRDefault="00130A60" w:rsidP="009D6AD4">
            <w:pPr>
              <w:pStyle w:val="NoSpacing"/>
              <w:rPr>
                <w:sz w:val="20"/>
                <w:szCs w:val="20"/>
              </w:rPr>
            </w:pPr>
            <w:r w:rsidRPr="0047024E">
              <w:rPr>
                <w:sz w:val="20"/>
                <w:szCs w:val="20"/>
              </w:rPr>
              <w:t>(Temporary)</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Medium</w:t>
            </w:r>
          </w:p>
        </w:tc>
      </w:tr>
    </w:tbl>
    <w:p w:rsidR="00130A60" w:rsidRPr="0047024E" w:rsidRDefault="00130A60" w:rsidP="00130A60">
      <w:pPr>
        <w:widowControl w:val="0"/>
        <w:autoSpaceDE w:val="0"/>
        <w:autoSpaceDN w:val="0"/>
        <w:adjustRightInd w:val="0"/>
        <w:spacing w:after="240" w:line="440" w:lineRule="atLeast"/>
        <w:rPr>
          <w:rFonts w:cs="Times New Roman"/>
          <w:sz w:val="20"/>
          <w:szCs w:val="20"/>
          <w:lang w:val="en-US"/>
        </w:rPr>
      </w:pPr>
      <w:r w:rsidRPr="0047024E">
        <w:rPr>
          <w:rFonts w:cs="Times"/>
          <w:sz w:val="20"/>
          <w:szCs w:val="20"/>
          <w:lang w:val="en-US"/>
        </w:rPr>
        <w:t xml:space="preserve">Table 4: </w:t>
      </w:r>
      <w:r w:rsidRPr="0047024E">
        <w:rPr>
          <w:rFonts w:cs="Times New Roman"/>
          <w:sz w:val="20"/>
          <w:szCs w:val="20"/>
          <w:lang w:val="en-US"/>
        </w:rPr>
        <w:t>Heritage impact assessment: Old Grammar School Museum</w:t>
      </w:r>
    </w:p>
    <w:tbl>
      <w:tblPr>
        <w:tblStyle w:val="TableGrid"/>
        <w:tblW w:w="0" w:type="auto"/>
        <w:tblLook w:val="04A0" w:firstRow="1" w:lastRow="0" w:firstColumn="1" w:lastColumn="0" w:noHBand="0" w:noVBand="1"/>
      </w:tblPr>
      <w:tblGrid>
        <w:gridCol w:w="1019"/>
        <w:gridCol w:w="1077"/>
        <w:gridCol w:w="1262"/>
        <w:gridCol w:w="875"/>
        <w:gridCol w:w="1229"/>
        <w:gridCol w:w="1255"/>
        <w:gridCol w:w="1283"/>
        <w:gridCol w:w="1242"/>
      </w:tblGrid>
      <w:tr w:rsidR="00130A60" w:rsidRPr="0047024E" w:rsidTr="009D6AD4">
        <w:tc>
          <w:tcPr>
            <w:tcW w:w="1618" w:type="dxa"/>
          </w:tcPr>
          <w:p w:rsidR="00130A60" w:rsidRPr="0047024E" w:rsidRDefault="00130A60" w:rsidP="009D6AD4">
            <w:pPr>
              <w:pStyle w:val="NoSpacing"/>
              <w:rPr>
                <w:b/>
                <w:sz w:val="20"/>
                <w:szCs w:val="20"/>
              </w:rPr>
            </w:pPr>
            <w:r w:rsidRPr="0047024E">
              <w:rPr>
                <w:b/>
                <w:sz w:val="20"/>
                <w:szCs w:val="20"/>
              </w:rPr>
              <w:t>NHLE No.</w:t>
            </w:r>
          </w:p>
        </w:tc>
        <w:tc>
          <w:tcPr>
            <w:tcW w:w="1618" w:type="dxa"/>
          </w:tcPr>
          <w:p w:rsidR="00130A60" w:rsidRPr="0047024E" w:rsidRDefault="00130A60" w:rsidP="009D6AD4">
            <w:pPr>
              <w:widowControl w:val="0"/>
              <w:autoSpaceDE w:val="0"/>
              <w:autoSpaceDN w:val="0"/>
              <w:adjustRightInd w:val="0"/>
              <w:spacing w:after="240" w:line="360" w:lineRule="atLeast"/>
              <w:rPr>
                <w:rFonts w:cs="Times"/>
                <w:b/>
                <w:sz w:val="20"/>
                <w:szCs w:val="20"/>
              </w:rPr>
            </w:pPr>
            <w:r w:rsidRPr="0047024E">
              <w:rPr>
                <w:rFonts w:cs="Times"/>
                <w:b/>
                <w:sz w:val="20"/>
                <w:szCs w:val="20"/>
              </w:rPr>
              <w:t>Name</w:t>
            </w:r>
          </w:p>
        </w:tc>
        <w:tc>
          <w:tcPr>
            <w:tcW w:w="1619" w:type="dxa"/>
          </w:tcPr>
          <w:p w:rsidR="00130A60" w:rsidRPr="0047024E" w:rsidRDefault="00130A60" w:rsidP="009D6AD4">
            <w:pPr>
              <w:widowControl w:val="0"/>
              <w:autoSpaceDE w:val="0"/>
              <w:autoSpaceDN w:val="0"/>
              <w:adjustRightInd w:val="0"/>
              <w:spacing w:after="240" w:line="360" w:lineRule="atLeast"/>
              <w:rPr>
                <w:rFonts w:cs="Times"/>
                <w:b/>
                <w:sz w:val="20"/>
                <w:szCs w:val="20"/>
              </w:rPr>
            </w:pPr>
            <w:r w:rsidRPr="0047024E">
              <w:rPr>
                <w:rFonts w:cs="Times"/>
                <w:b/>
                <w:sz w:val="20"/>
                <w:szCs w:val="20"/>
              </w:rPr>
              <w:t>Designation</w:t>
            </w:r>
          </w:p>
        </w:tc>
        <w:tc>
          <w:tcPr>
            <w:tcW w:w="1619" w:type="dxa"/>
          </w:tcPr>
          <w:p w:rsidR="00130A60" w:rsidRPr="0047024E" w:rsidRDefault="00130A60" w:rsidP="009D6AD4">
            <w:pPr>
              <w:pStyle w:val="NoSpacing"/>
              <w:rPr>
                <w:b/>
                <w:sz w:val="20"/>
                <w:szCs w:val="20"/>
              </w:rPr>
            </w:pPr>
            <w:r w:rsidRPr="0047024E">
              <w:rPr>
                <w:b/>
                <w:sz w:val="20"/>
                <w:szCs w:val="20"/>
              </w:rPr>
              <w:t>Period</w:t>
            </w:r>
          </w:p>
        </w:tc>
        <w:tc>
          <w:tcPr>
            <w:tcW w:w="1619" w:type="dxa"/>
          </w:tcPr>
          <w:p w:rsidR="00130A60" w:rsidRPr="0047024E" w:rsidRDefault="00130A60" w:rsidP="009D6AD4">
            <w:pPr>
              <w:pStyle w:val="NoSpacing"/>
              <w:rPr>
                <w:b/>
                <w:sz w:val="20"/>
                <w:szCs w:val="20"/>
              </w:rPr>
            </w:pPr>
            <w:r w:rsidRPr="0047024E">
              <w:rPr>
                <w:b/>
                <w:sz w:val="20"/>
                <w:szCs w:val="20"/>
              </w:rPr>
              <w:t>Summary Description</w:t>
            </w:r>
          </w:p>
        </w:tc>
        <w:tc>
          <w:tcPr>
            <w:tcW w:w="1619" w:type="dxa"/>
          </w:tcPr>
          <w:p w:rsidR="00130A60" w:rsidRPr="0047024E" w:rsidRDefault="00130A60" w:rsidP="009D6AD4">
            <w:pPr>
              <w:pStyle w:val="NoSpacing"/>
              <w:rPr>
                <w:b/>
                <w:sz w:val="20"/>
                <w:szCs w:val="20"/>
              </w:rPr>
            </w:pPr>
            <w:r w:rsidRPr="0047024E">
              <w:rPr>
                <w:b/>
                <w:sz w:val="20"/>
                <w:szCs w:val="20"/>
              </w:rPr>
              <w:t>Significance of asset</w:t>
            </w:r>
          </w:p>
        </w:tc>
        <w:tc>
          <w:tcPr>
            <w:tcW w:w="1619" w:type="dxa"/>
          </w:tcPr>
          <w:p w:rsidR="00130A60" w:rsidRPr="0047024E" w:rsidRDefault="00130A60" w:rsidP="009D6AD4">
            <w:pPr>
              <w:pStyle w:val="NoSpacing"/>
              <w:rPr>
                <w:b/>
                <w:sz w:val="20"/>
                <w:szCs w:val="20"/>
              </w:rPr>
            </w:pPr>
            <w:r w:rsidRPr="0047024E">
              <w:rPr>
                <w:b/>
                <w:sz w:val="20"/>
                <w:szCs w:val="20"/>
              </w:rPr>
              <w:t>Change to Setting</w:t>
            </w:r>
          </w:p>
        </w:tc>
        <w:tc>
          <w:tcPr>
            <w:tcW w:w="1619" w:type="dxa"/>
          </w:tcPr>
          <w:p w:rsidR="00130A60" w:rsidRPr="0047024E" w:rsidRDefault="00130A60" w:rsidP="009D6AD4">
            <w:pPr>
              <w:pStyle w:val="NoSpacing"/>
              <w:rPr>
                <w:b/>
                <w:sz w:val="20"/>
                <w:szCs w:val="20"/>
              </w:rPr>
            </w:pPr>
            <w:r w:rsidRPr="0047024E">
              <w:rPr>
                <w:b/>
                <w:sz w:val="20"/>
                <w:szCs w:val="20"/>
              </w:rPr>
              <w:t>Effect on significance</w:t>
            </w:r>
          </w:p>
        </w:tc>
      </w:tr>
      <w:tr w:rsidR="00130A60" w:rsidRPr="0047024E" w:rsidTr="009D6AD4">
        <w:tc>
          <w:tcPr>
            <w:tcW w:w="1618"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1197660</w:t>
            </w:r>
          </w:p>
        </w:tc>
        <w:tc>
          <w:tcPr>
            <w:tcW w:w="1618" w:type="dxa"/>
          </w:tcPr>
          <w:p w:rsidR="00130A60" w:rsidRPr="0047024E" w:rsidRDefault="00130A60" w:rsidP="009D6AD4">
            <w:pPr>
              <w:pStyle w:val="NoSpacing"/>
              <w:rPr>
                <w:sz w:val="20"/>
                <w:szCs w:val="20"/>
              </w:rPr>
            </w:pPr>
            <w:r w:rsidRPr="0047024E">
              <w:rPr>
                <w:sz w:val="20"/>
                <w:szCs w:val="20"/>
              </w:rPr>
              <w:t>Old Grammar School Museum</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Grade II*</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C16</w:t>
            </w:r>
          </w:p>
        </w:tc>
        <w:tc>
          <w:tcPr>
            <w:tcW w:w="1619" w:type="dxa"/>
          </w:tcPr>
          <w:p w:rsidR="00130A60" w:rsidRPr="0047024E" w:rsidRDefault="00130A60" w:rsidP="009D6AD4">
            <w:pPr>
              <w:pStyle w:val="NoSpacing"/>
              <w:rPr>
                <w:sz w:val="20"/>
                <w:szCs w:val="20"/>
              </w:rPr>
            </w:pPr>
            <w:r w:rsidRPr="0047024E">
              <w:rPr>
                <w:sz w:val="20"/>
                <w:szCs w:val="20"/>
              </w:rPr>
              <w:t>Former grammar school</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High</w:t>
            </w:r>
          </w:p>
        </w:tc>
        <w:tc>
          <w:tcPr>
            <w:tcW w:w="1619" w:type="dxa"/>
          </w:tcPr>
          <w:p w:rsidR="00130A60" w:rsidRPr="0047024E" w:rsidRDefault="00130A60" w:rsidP="009D6AD4">
            <w:pPr>
              <w:pStyle w:val="NoSpacing"/>
              <w:rPr>
                <w:sz w:val="20"/>
                <w:szCs w:val="20"/>
              </w:rPr>
            </w:pPr>
            <w:r w:rsidRPr="0047024E">
              <w:rPr>
                <w:sz w:val="20"/>
                <w:szCs w:val="20"/>
              </w:rPr>
              <w:t>Minor</w:t>
            </w:r>
          </w:p>
          <w:p w:rsidR="00130A60" w:rsidRPr="0047024E" w:rsidRDefault="00130A60" w:rsidP="009D6AD4">
            <w:pPr>
              <w:pStyle w:val="NoSpacing"/>
              <w:rPr>
                <w:sz w:val="20"/>
                <w:szCs w:val="20"/>
              </w:rPr>
            </w:pPr>
            <w:r w:rsidRPr="0047024E">
              <w:rPr>
                <w:sz w:val="20"/>
                <w:szCs w:val="20"/>
              </w:rPr>
              <w:t>(Temporary)</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Medium</w:t>
            </w:r>
          </w:p>
        </w:tc>
      </w:tr>
    </w:tbl>
    <w:p w:rsidR="00130A60" w:rsidRPr="0047024E" w:rsidRDefault="00130A60" w:rsidP="00130A60">
      <w:pPr>
        <w:widowControl w:val="0"/>
        <w:autoSpaceDE w:val="0"/>
        <w:autoSpaceDN w:val="0"/>
        <w:adjustRightInd w:val="0"/>
        <w:spacing w:after="240" w:line="440" w:lineRule="atLeast"/>
        <w:rPr>
          <w:rFonts w:cs="Times New Roman"/>
          <w:sz w:val="20"/>
          <w:szCs w:val="20"/>
          <w:lang w:val="en-US"/>
        </w:rPr>
      </w:pPr>
      <w:r w:rsidRPr="0047024E">
        <w:rPr>
          <w:rFonts w:cs="Times"/>
          <w:sz w:val="20"/>
          <w:szCs w:val="20"/>
          <w:lang w:val="en-US"/>
        </w:rPr>
        <w:t xml:space="preserve">Table 5: </w:t>
      </w:r>
      <w:r w:rsidRPr="0047024E">
        <w:rPr>
          <w:rFonts w:cs="Times New Roman"/>
          <w:sz w:val="20"/>
          <w:szCs w:val="20"/>
          <w:lang w:val="en-US"/>
        </w:rPr>
        <w:t>Heritage impact assessment: Wool Exchange</w:t>
      </w:r>
    </w:p>
    <w:tbl>
      <w:tblPr>
        <w:tblStyle w:val="TableGrid"/>
        <w:tblW w:w="0" w:type="auto"/>
        <w:tblLook w:val="04A0" w:firstRow="1" w:lastRow="0" w:firstColumn="1" w:lastColumn="0" w:noHBand="0" w:noVBand="1"/>
      </w:tblPr>
      <w:tblGrid>
        <w:gridCol w:w="1021"/>
        <w:gridCol w:w="1071"/>
        <w:gridCol w:w="1262"/>
        <w:gridCol w:w="876"/>
        <w:gridCol w:w="1230"/>
        <w:gridCol w:w="1255"/>
        <w:gridCol w:w="1284"/>
        <w:gridCol w:w="1243"/>
      </w:tblGrid>
      <w:tr w:rsidR="00130A60" w:rsidRPr="0047024E" w:rsidTr="009D6AD4">
        <w:tc>
          <w:tcPr>
            <w:tcW w:w="1618" w:type="dxa"/>
          </w:tcPr>
          <w:p w:rsidR="00130A60" w:rsidRPr="0047024E" w:rsidRDefault="00130A60" w:rsidP="009D6AD4">
            <w:pPr>
              <w:pStyle w:val="NoSpacing"/>
              <w:rPr>
                <w:b/>
                <w:sz w:val="20"/>
                <w:szCs w:val="20"/>
              </w:rPr>
            </w:pPr>
            <w:r w:rsidRPr="0047024E">
              <w:rPr>
                <w:b/>
                <w:sz w:val="20"/>
                <w:szCs w:val="20"/>
              </w:rPr>
              <w:t>NHLE No.</w:t>
            </w:r>
          </w:p>
        </w:tc>
        <w:tc>
          <w:tcPr>
            <w:tcW w:w="1618" w:type="dxa"/>
          </w:tcPr>
          <w:p w:rsidR="00130A60" w:rsidRPr="0047024E" w:rsidRDefault="00130A60" w:rsidP="009D6AD4">
            <w:pPr>
              <w:widowControl w:val="0"/>
              <w:autoSpaceDE w:val="0"/>
              <w:autoSpaceDN w:val="0"/>
              <w:adjustRightInd w:val="0"/>
              <w:spacing w:after="240" w:line="360" w:lineRule="atLeast"/>
              <w:rPr>
                <w:rFonts w:cs="Times"/>
                <w:b/>
                <w:sz w:val="20"/>
                <w:szCs w:val="20"/>
              </w:rPr>
            </w:pPr>
            <w:r w:rsidRPr="0047024E">
              <w:rPr>
                <w:rFonts w:cs="Times"/>
                <w:b/>
                <w:sz w:val="20"/>
                <w:szCs w:val="20"/>
              </w:rPr>
              <w:t>Name</w:t>
            </w:r>
          </w:p>
        </w:tc>
        <w:tc>
          <w:tcPr>
            <w:tcW w:w="1619" w:type="dxa"/>
          </w:tcPr>
          <w:p w:rsidR="00130A60" w:rsidRPr="0047024E" w:rsidRDefault="00130A60" w:rsidP="009D6AD4">
            <w:pPr>
              <w:widowControl w:val="0"/>
              <w:autoSpaceDE w:val="0"/>
              <w:autoSpaceDN w:val="0"/>
              <w:adjustRightInd w:val="0"/>
              <w:spacing w:after="240" w:line="360" w:lineRule="atLeast"/>
              <w:rPr>
                <w:rFonts w:cs="Times"/>
                <w:b/>
                <w:sz w:val="20"/>
                <w:szCs w:val="20"/>
              </w:rPr>
            </w:pPr>
            <w:r w:rsidRPr="0047024E">
              <w:rPr>
                <w:rFonts w:cs="Times"/>
                <w:b/>
                <w:sz w:val="20"/>
                <w:szCs w:val="20"/>
              </w:rPr>
              <w:t>Designation</w:t>
            </w:r>
          </w:p>
        </w:tc>
        <w:tc>
          <w:tcPr>
            <w:tcW w:w="1619" w:type="dxa"/>
          </w:tcPr>
          <w:p w:rsidR="00130A60" w:rsidRPr="0047024E" w:rsidRDefault="00130A60" w:rsidP="009D6AD4">
            <w:pPr>
              <w:pStyle w:val="NoSpacing"/>
              <w:rPr>
                <w:b/>
                <w:sz w:val="20"/>
                <w:szCs w:val="20"/>
              </w:rPr>
            </w:pPr>
            <w:r w:rsidRPr="0047024E">
              <w:rPr>
                <w:b/>
                <w:sz w:val="20"/>
                <w:szCs w:val="20"/>
              </w:rPr>
              <w:t>Period</w:t>
            </w:r>
          </w:p>
        </w:tc>
        <w:tc>
          <w:tcPr>
            <w:tcW w:w="1619" w:type="dxa"/>
          </w:tcPr>
          <w:p w:rsidR="00130A60" w:rsidRPr="0047024E" w:rsidRDefault="00130A60" w:rsidP="009D6AD4">
            <w:pPr>
              <w:pStyle w:val="NoSpacing"/>
              <w:rPr>
                <w:b/>
                <w:sz w:val="20"/>
                <w:szCs w:val="20"/>
              </w:rPr>
            </w:pPr>
            <w:r w:rsidRPr="0047024E">
              <w:rPr>
                <w:b/>
                <w:sz w:val="20"/>
                <w:szCs w:val="20"/>
              </w:rPr>
              <w:t>Summary Description</w:t>
            </w:r>
          </w:p>
        </w:tc>
        <w:tc>
          <w:tcPr>
            <w:tcW w:w="1619" w:type="dxa"/>
          </w:tcPr>
          <w:p w:rsidR="00130A60" w:rsidRPr="0047024E" w:rsidRDefault="00130A60" w:rsidP="009D6AD4">
            <w:pPr>
              <w:pStyle w:val="NoSpacing"/>
              <w:rPr>
                <w:b/>
                <w:sz w:val="20"/>
                <w:szCs w:val="20"/>
              </w:rPr>
            </w:pPr>
            <w:r w:rsidRPr="0047024E">
              <w:rPr>
                <w:b/>
                <w:sz w:val="20"/>
                <w:szCs w:val="20"/>
              </w:rPr>
              <w:t>Significance of asset</w:t>
            </w:r>
          </w:p>
        </w:tc>
        <w:tc>
          <w:tcPr>
            <w:tcW w:w="1619" w:type="dxa"/>
          </w:tcPr>
          <w:p w:rsidR="00130A60" w:rsidRPr="0047024E" w:rsidRDefault="00130A60" w:rsidP="009D6AD4">
            <w:pPr>
              <w:pStyle w:val="NoSpacing"/>
              <w:rPr>
                <w:b/>
                <w:sz w:val="20"/>
                <w:szCs w:val="20"/>
              </w:rPr>
            </w:pPr>
            <w:r w:rsidRPr="0047024E">
              <w:rPr>
                <w:b/>
                <w:sz w:val="20"/>
                <w:szCs w:val="20"/>
              </w:rPr>
              <w:t>Change to Setting</w:t>
            </w:r>
          </w:p>
        </w:tc>
        <w:tc>
          <w:tcPr>
            <w:tcW w:w="1619" w:type="dxa"/>
          </w:tcPr>
          <w:p w:rsidR="00130A60" w:rsidRPr="0047024E" w:rsidRDefault="00130A60" w:rsidP="009D6AD4">
            <w:pPr>
              <w:pStyle w:val="NoSpacing"/>
              <w:rPr>
                <w:b/>
                <w:sz w:val="20"/>
                <w:szCs w:val="20"/>
              </w:rPr>
            </w:pPr>
            <w:r w:rsidRPr="0047024E">
              <w:rPr>
                <w:b/>
                <w:sz w:val="20"/>
                <w:szCs w:val="20"/>
              </w:rPr>
              <w:t>Effect on significance</w:t>
            </w:r>
          </w:p>
        </w:tc>
      </w:tr>
      <w:tr w:rsidR="00130A60" w:rsidRPr="0047024E" w:rsidTr="009D6AD4">
        <w:tc>
          <w:tcPr>
            <w:tcW w:w="1618"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1297106</w:t>
            </w:r>
          </w:p>
        </w:tc>
        <w:tc>
          <w:tcPr>
            <w:tcW w:w="1618" w:type="dxa"/>
          </w:tcPr>
          <w:p w:rsidR="00130A60" w:rsidRPr="0047024E" w:rsidRDefault="00130A60" w:rsidP="009D6AD4">
            <w:pPr>
              <w:pStyle w:val="NoSpacing"/>
              <w:rPr>
                <w:sz w:val="20"/>
                <w:szCs w:val="20"/>
              </w:rPr>
            </w:pPr>
            <w:r w:rsidRPr="0047024E">
              <w:rPr>
                <w:sz w:val="20"/>
                <w:szCs w:val="20"/>
              </w:rPr>
              <w:t>Wool Exchange</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Grade II</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C19</w:t>
            </w:r>
          </w:p>
        </w:tc>
        <w:tc>
          <w:tcPr>
            <w:tcW w:w="1619" w:type="dxa"/>
          </w:tcPr>
          <w:p w:rsidR="00130A60" w:rsidRPr="0047024E" w:rsidRDefault="00130A60" w:rsidP="009D6AD4">
            <w:pPr>
              <w:pStyle w:val="NoSpacing"/>
              <w:rPr>
                <w:sz w:val="20"/>
                <w:szCs w:val="20"/>
              </w:rPr>
            </w:pPr>
            <w:r w:rsidRPr="0047024E">
              <w:rPr>
                <w:sz w:val="20"/>
                <w:szCs w:val="20"/>
              </w:rPr>
              <w:t>Former warehouse</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Medium</w:t>
            </w:r>
          </w:p>
        </w:tc>
        <w:tc>
          <w:tcPr>
            <w:tcW w:w="1619" w:type="dxa"/>
          </w:tcPr>
          <w:p w:rsidR="00130A60" w:rsidRPr="0047024E" w:rsidRDefault="00130A60" w:rsidP="009D6AD4">
            <w:pPr>
              <w:pStyle w:val="NoSpacing"/>
              <w:rPr>
                <w:sz w:val="20"/>
                <w:szCs w:val="20"/>
              </w:rPr>
            </w:pPr>
            <w:r w:rsidRPr="0047024E">
              <w:rPr>
                <w:sz w:val="20"/>
                <w:szCs w:val="20"/>
              </w:rPr>
              <w:t>Minor</w:t>
            </w:r>
          </w:p>
          <w:p w:rsidR="00130A60" w:rsidRPr="0047024E" w:rsidRDefault="00130A60" w:rsidP="009D6AD4">
            <w:pPr>
              <w:pStyle w:val="NoSpacing"/>
              <w:rPr>
                <w:sz w:val="20"/>
                <w:szCs w:val="20"/>
              </w:rPr>
            </w:pPr>
            <w:r w:rsidRPr="0047024E">
              <w:rPr>
                <w:sz w:val="20"/>
                <w:szCs w:val="20"/>
              </w:rPr>
              <w:t>(Temporary)</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Medium</w:t>
            </w:r>
          </w:p>
        </w:tc>
      </w:tr>
    </w:tbl>
    <w:p w:rsidR="00130A60" w:rsidRPr="0047024E" w:rsidRDefault="00130A60" w:rsidP="00130A60">
      <w:pPr>
        <w:widowControl w:val="0"/>
        <w:autoSpaceDE w:val="0"/>
        <w:autoSpaceDN w:val="0"/>
        <w:adjustRightInd w:val="0"/>
        <w:spacing w:after="240" w:line="440" w:lineRule="atLeast"/>
        <w:rPr>
          <w:rFonts w:cs="Times New Roman"/>
          <w:sz w:val="20"/>
          <w:szCs w:val="20"/>
          <w:lang w:val="en-US"/>
        </w:rPr>
      </w:pPr>
      <w:r w:rsidRPr="0047024E">
        <w:rPr>
          <w:rFonts w:cs="Times"/>
          <w:sz w:val="20"/>
          <w:szCs w:val="20"/>
          <w:lang w:val="en-US"/>
        </w:rPr>
        <w:t xml:space="preserve">Table 6: </w:t>
      </w:r>
      <w:r w:rsidRPr="0047024E">
        <w:rPr>
          <w:rFonts w:cs="Times New Roman"/>
          <w:sz w:val="20"/>
          <w:szCs w:val="20"/>
          <w:lang w:val="en-US"/>
        </w:rPr>
        <w:t>Heritage impact assessment: Building between Kings Market &amp; Wool Exchange</w:t>
      </w:r>
    </w:p>
    <w:tbl>
      <w:tblPr>
        <w:tblStyle w:val="TableGrid"/>
        <w:tblW w:w="0" w:type="auto"/>
        <w:tblLook w:val="04A0" w:firstRow="1" w:lastRow="0" w:firstColumn="1" w:lastColumn="0" w:noHBand="0" w:noVBand="1"/>
      </w:tblPr>
      <w:tblGrid>
        <w:gridCol w:w="1021"/>
        <w:gridCol w:w="1071"/>
        <w:gridCol w:w="1262"/>
        <w:gridCol w:w="876"/>
        <w:gridCol w:w="1230"/>
        <w:gridCol w:w="1255"/>
        <w:gridCol w:w="1284"/>
        <w:gridCol w:w="1243"/>
      </w:tblGrid>
      <w:tr w:rsidR="00130A60" w:rsidRPr="0047024E" w:rsidTr="009D6AD4">
        <w:tc>
          <w:tcPr>
            <w:tcW w:w="1618" w:type="dxa"/>
          </w:tcPr>
          <w:p w:rsidR="00130A60" w:rsidRPr="0047024E" w:rsidRDefault="00130A60" w:rsidP="009D6AD4">
            <w:pPr>
              <w:pStyle w:val="NoSpacing"/>
              <w:rPr>
                <w:b/>
                <w:sz w:val="20"/>
                <w:szCs w:val="20"/>
              </w:rPr>
            </w:pPr>
            <w:r w:rsidRPr="0047024E">
              <w:rPr>
                <w:b/>
                <w:sz w:val="20"/>
                <w:szCs w:val="20"/>
              </w:rPr>
              <w:t>NHLE No.</w:t>
            </w:r>
          </w:p>
        </w:tc>
        <w:tc>
          <w:tcPr>
            <w:tcW w:w="1618" w:type="dxa"/>
          </w:tcPr>
          <w:p w:rsidR="00130A60" w:rsidRPr="0047024E" w:rsidRDefault="00130A60" w:rsidP="009D6AD4">
            <w:pPr>
              <w:widowControl w:val="0"/>
              <w:autoSpaceDE w:val="0"/>
              <w:autoSpaceDN w:val="0"/>
              <w:adjustRightInd w:val="0"/>
              <w:spacing w:after="240" w:line="360" w:lineRule="atLeast"/>
              <w:rPr>
                <w:rFonts w:cs="Times"/>
                <w:b/>
                <w:sz w:val="20"/>
                <w:szCs w:val="20"/>
              </w:rPr>
            </w:pPr>
            <w:r w:rsidRPr="0047024E">
              <w:rPr>
                <w:rFonts w:cs="Times"/>
                <w:b/>
                <w:sz w:val="20"/>
                <w:szCs w:val="20"/>
              </w:rPr>
              <w:t>Name</w:t>
            </w:r>
          </w:p>
        </w:tc>
        <w:tc>
          <w:tcPr>
            <w:tcW w:w="1619" w:type="dxa"/>
          </w:tcPr>
          <w:p w:rsidR="00130A60" w:rsidRPr="0047024E" w:rsidRDefault="00130A60" w:rsidP="009D6AD4">
            <w:pPr>
              <w:widowControl w:val="0"/>
              <w:autoSpaceDE w:val="0"/>
              <w:autoSpaceDN w:val="0"/>
              <w:adjustRightInd w:val="0"/>
              <w:spacing w:after="240" w:line="360" w:lineRule="atLeast"/>
              <w:rPr>
                <w:rFonts w:cs="Times"/>
                <w:b/>
                <w:sz w:val="20"/>
                <w:szCs w:val="20"/>
              </w:rPr>
            </w:pPr>
            <w:r w:rsidRPr="0047024E">
              <w:rPr>
                <w:rFonts w:cs="Times"/>
                <w:b/>
                <w:sz w:val="20"/>
                <w:szCs w:val="20"/>
              </w:rPr>
              <w:t>Designation</w:t>
            </w:r>
          </w:p>
        </w:tc>
        <w:tc>
          <w:tcPr>
            <w:tcW w:w="1619" w:type="dxa"/>
          </w:tcPr>
          <w:p w:rsidR="00130A60" w:rsidRPr="0047024E" w:rsidRDefault="00130A60" w:rsidP="009D6AD4">
            <w:pPr>
              <w:pStyle w:val="NoSpacing"/>
              <w:rPr>
                <w:b/>
                <w:sz w:val="20"/>
                <w:szCs w:val="20"/>
              </w:rPr>
            </w:pPr>
            <w:r w:rsidRPr="0047024E">
              <w:rPr>
                <w:b/>
                <w:sz w:val="20"/>
                <w:szCs w:val="20"/>
              </w:rPr>
              <w:t>Period</w:t>
            </w:r>
          </w:p>
        </w:tc>
        <w:tc>
          <w:tcPr>
            <w:tcW w:w="1619" w:type="dxa"/>
          </w:tcPr>
          <w:p w:rsidR="00130A60" w:rsidRPr="0047024E" w:rsidRDefault="00130A60" w:rsidP="009D6AD4">
            <w:pPr>
              <w:pStyle w:val="NoSpacing"/>
              <w:rPr>
                <w:b/>
                <w:sz w:val="20"/>
                <w:szCs w:val="20"/>
              </w:rPr>
            </w:pPr>
            <w:r w:rsidRPr="0047024E">
              <w:rPr>
                <w:b/>
                <w:sz w:val="20"/>
                <w:szCs w:val="20"/>
              </w:rPr>
              <w:t>Summary Description</w:t>
            </w:r>
          </w:p>
        </w:tc>
        <w:tc>
          <w:tcPr>
            <w:tcW w:w="1619" w:type="dxa"/>
          </w:tcPr>
          <w:p w:rsidR="00130A60" w:rsidRPr="0047024E" w:rsidRDefault="00130A60" w:rsidP="009D6AD4">
            <w:pPr>
              <w:pStyle w:val="NoSpacing"/>
              <w:rPr>
                <w:b/>
                <w:sz w:val="20"/>
                <w:szCs w:val="20"/>
              </w:rPr>
            </w:pPr>
            <w:r w:rsidRPr="0047024E">
              <w:rPr>
                <w:b/>
                <w:sz w:val="20"/>
                <w:szCs w:val="20"/>
              </w:rPr>
              <w:t>Significance of asset</w:t>
            </w:r>
          </w:p>
        </w:tc>
        <w:tc>
          <w:tcPr>
            <w:tcW w:w="1619" w:type="dxa"/>
          </w:tcPr>
          <w:p w:rsidR="00130A60" w:rsidRPr="0047024E" w:rsidRDefault="00130A60" w:rsidP="009D6AD4">
            <w:pPr>
              <w:pStyle w:val="NoSpacing"/>
              <w:rPr>
                <w:b/>
                <w:sz w:val="20"/>
                <w:szCs w:val="20"/>
              </w:rPr>
            </w:pPr>
            <w:r w:rsidRPr="0047024E">
              <w:rPr>
                <w:b/>
                <w:sz w:val="20"/>
                <w:szCs w:val="20"/>
              </w:rPr>
              <w:t>Change to Setting</w:t>
            </w:r>
          </w:p>
        </w:tc>
        <w:tc>
          <w:tcPr>
            <w:tcW w:w="1619" w:type="dxa"/>
          </w:tcPr>
          <w:p w:rsidR="00130A60" w:rsidRPr="0047024E" w:rsidRDefault="00130A60" w:rsidP="009D6AD4">
            <w:pPr>
              <w:pStyle w:val="NoSpacing"/>
              <w:rPr>
                <w:b/>
                <w:sz w:val="20"/>
                <w:szCs w:val="20"/>
              </w:rPr>
            </w:pPr>
            <w:r w:rsidRPr="0047024E">
              <w:rPr>
                <w:b/>
                <w:sz w:val="20"/>
                <w:szCs w:val="20"/>
              </w:rPr>
              <w:t>Effect on significance</w:t>
            </w:r>
          </w:p>
        </w:tc>
      </w:tr>
      <w:tr w:rsidR="00130A60" w:rsidRPr="0047024E" w:rsidTr="009D6AD4">
        <w:tc>
          <w:tcPr>
            <w:tcW w:w="1618"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1297105</w:t>
            </w:r>
          </w:p>
        </w:tc>
        <w:tc>
          <w:tcPr>
            <w:tcW w:w="1618" w:type="dxa"/>
          </w:tcPr>
          <w:p w:rsidR="00130A60" w:rsidRPr="0047024E" w:rsidRDefault="00130A60" w:rsidP="009D6AD4">
            <w:pPr>
              <w:pStyle w:val="NoSpacing"/>
              <w:rPr>
                <w:sz w:val="20"/>
                <w:szCs w:val="20"/>
              </w:rPr>
            </w:pPr>
            <w:r w:rsidRPr="0047024E">
              <w:rPr>
                <w:rFonts w:cs="Times New Roman"/>
                <w:sz w:val="20"/>
                <w:szCs w:val="20"/>
              </w:rPr>
              <w:t>Building between Kings Market &amp; Wool Exchange</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Grade II</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C19</w:t>
            </w:r>
          </w:p>
        </w:tc>
        <w:tc>
          <w:tcPr>
            <w:tcW w:w="1619" w:type="dxa"/>
          </w:tcPr>
          <w:p w:rsidR="00130A60" w:rsidRPr="0047024E" w:rsidRDefault="00130A60" w:rsidP="009D6AD4">
            <w:pPr>
              <w:pStyle w:val="NoSpacing"/>
              <w:rPr>
                <w:sz w:val="20"/>
                <w:szCs w:val="20"/>
              </w:rPr>
            </w:pPr>
            <w:r w:rsidRPr="0047024E">
              <w:rPr>
                <w:sz w:val="20"/>
                <w:szCs w:val="20"/>
              </w:rPr>
              <w:t>Former warehouse</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Medium</w:t>
            </w:r>
          </w:p>
        </w:tc>
        <w:tc>
          <w:tcPr>
            <w:tcW w:w="1619" w:type="dxa"/>
          </w:tcPr>
          <w:p w:rsidR="00130A60" w:rsidRPr="0047024E" w:rsidRDefault="00130A60" w:rsidP="009D6AD4">
            <w:pPr>
              <w:pStyle w:val="NoSpacing"/>
              <w:rPr>
                <w:sz w:val="20"/>
                <w:szCs w:val="20"/>
              </w:rPr>
            </w:pPr>
            <w:r w:rsidRPr="0047024E">
              <w:rPr>
                <w:sz w:val="20"/>
                <w:szCs w:val="20"/>
              </w:rPr>
              <w:t>Minor</w:t>
            </w:r>
          </w:p>
          <w:p w:rsidR="00130A60" w:rsidRPr="0047024E" w:rsidRDefault="00130A60" w:rsidP="009D6AD4">
            <w:pPr>
              <w:pStyle w:val="NoSpacing"/>
              <w:rPr>
                <w:sz w:val="20"/>
                <w:szCs w:val="20"/>
              </w:rPr>
            </w:pPr>
            <w:r w:rsidRPr="0047024E">
              <w:rPr>
                <w:sz w:val="20"/>
                <w:szCs w:val="20"/>
              </w:rPr>
              <w:t>(Temporary)</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Medium</w:t>
            </w:r>
          </w:p>
        </w:tc>
      </w:tr>
    </w:tbl>
    <w:p w:rsidR="00130A60" w:rsidRPr="0047024E" w:rsidRDefault="00130A60" w:rsidP="00130A60">
      <w:pPr>
        <w:widowControl w:val="0"/>
        <w:autoSpaceDE w:val="0"/>
        <w:autoSpaceDN w:val="0"/>
        <w:adjustRightInd w:val="0"/>
        <w:spacing w:after="240" w:line="440" w:lineRule="atLeast"/>
        <w:rPr>
          <w:rFonts w:cs="Times New Roman"/>
          <w:sz w:val="20"/>
          <w:szCs w:val="20"/>
          <w:lang w:val="en-US"/>
        </w:rPr>
      </w:pPr>
      <w:r w:rsidRPr="0047024E">
        <w:rPr>
          <w:rFonts w:cs="Times"/>
          <w:sz w:val="20"/>
          <w:szCs w:val="20"/>
          <w:lang w:val="en-US"/>
        </w:rPr>
        <w:t xml:space="preserve">Table 7: </w:t>
      </w:r>
      <w:r w:rsidRPr="0047024E">
        <w:rPr>
          <w:rFonts w:cs="Times New Roman"/>
          <w:sz w:val="20"/>
          <w:szCs w:val="20"/>
          <w:lang w:val="en-US"/>
        </w:rPr>
        <w:t>Heritage impact assessment: Kings Market</w:t>
      </w:r>
    </w:p>
    <w:tbl>
      <w:tblPr>
        <w:tblStyle w:val="TableGrid"/>
        <w:tblW w:w="0" w:type="auto"/>
        <w:tblLook w:val="04A0" w:firstRow="1" w:lastRow="0" w:firstColumn="1" w:lastColumn="0" w:noHBand="0" w:noVBand="1"/>
      </w:tblPr>
      <w:tblGrid>
        <w:gridCol w:w="1021"/>
        <w:gridCol w:w="1071"/>
        <w:gridCol w:w="1262"/>
        <w:gridCol w:w="876"/>
        <w:gridCol w:w="1230"/>
        <w:gridCol w:w="1255"/>
        <w:gridCol w:w="1284"/>
        <w:gridCol w:w="1243"/>
      </w:tblGrid>
      <w:tr w:rsidR="00130A60" w:rsidRPr="0047024E" w:rsidTr="009D6AD4">
        <w:tc>
          <w:tcPr>
            <w:tcW w:w="1618" w:type="dxa"/>
          </w:tcPr>
          <w:p w:rsidR="00130A60" w:rsidRPr="0047024E" w:rsidRDefault="00130A60" w:rsidP="009D6AD4">
            <w:pPr>
              <w:pStyle w:val="NoSpacing"/>
              <w:rPr>
                <w:b/>
                <w:sz w:val="20"/>
                <w:szCs w:val="20"/>
              </w:rPr>
            </w:pPr>
            <w:r w:rsidRPr="0047024E">
              <w:rPr>
                <w:b/>
                <w:sz w:val="20"/>
                <w:szCs w:val="20"/>
              </w:rPr>
              <w:t>NHLE No.</w:t>
            </w:r>
          </w:p>
        </w:tc>
        <w:tc>
          <w:tcPr>
            <w:tcW w:w="1618" w:type="dxa"/>
          </w:tcPr>
          <w:p w:rsidR="00130A60" w:rsidRPr="0047024E" w:rsidRDefault="00130A60" w:rsidP="009D6AD4">
            <w:pPr>
              <w:widowControl w:val="0"/>
              <w:autoSpaceDE w:val="0"/>
              <w:autoSpaceDN w:val="0"/>
              <w:adjustRightInd w:val="0"/>
              <w:spacing w:after="240" w:line="360" w:lineRule="atLeast"/>
              <w:rPr>
                <w:rFonts w:cs="Times"/>
                <w:b/>
                <w:sz w:val="20"/>
                <w:szCs w:val="20"/>
              </w:rPr>
            </w:pPr>
            <w:r w:rsidRPr="0047024E">
              <w:rPr>
                <w:rFonts w:cs="Times"/>
                <w:b/>
                <w:sz w:val="20"/>
                <w:szCs w:val="20"/>
              </w:rPr>
              <w:t>Name</w:t>
            </w:r>
          </w:p>
        </w:tc>
        <w:tc>
          <w:tcPr>
            <w:tcW w:w="1619" w:type="dxa"/>
          </w:tcPr>
          <w:p w:rsidR="00130A60" w:rsidRPr="0047024E" w:rsidRDefault="00130A60" w:rsidP="009D6AD4">
            <w:pPr>
              <w:widowControl w:val="0"/>
              <w:autoSpaceDE w:val="0"/>
              <w:autoSpaceDN w:val="0"/>
              <w:adjustRightInd w:val="0"/>
              <w:spacing w:after="240" w:line="360" w:lineRule="atLeast"/>
              <w:rPr>
                <w:rFonts w:cs="Times"/>
                <w:b/>
                <w:sz w:val="20"/>
                <w:szCs w:val="20"/>
              </w:rPr>
            </w:pPr>
            <w:r w:rsidRPr="0047024E">
              <w:rPr>
                <w:rFonts w:cs="Times"/>
                <w:b/>
                <w:sz w:val="20"/>
                <w:szCs w:val="20"/>
              </w:rPr>
              <w:t>Designation</w:t>
            </w:r>
          </w:p>
        </w:tc>
        <w:tc>
          <w:tcPr>
            <w:tcW w:w="1619" w:type="dxa"/>
          </w:tcPr>
          <w:p w:rsidR="00130A60" w:rsidRPr="0047024E" w:rsidRDefault="00130A60" w:rsidP="009D6AD4">
            <w:pPr>
              <w:pStyle w:val="NoSpacing"/>
              <w:rPr>
                <w:b/>
                <w:sz w:val="20"/>
                <w:szCs w:val="20"/>
              </w:rPr>
            </w:pPr>
            <w:r w:rsidRPr="0047024E">
              <w:rPr>
                <w:b/>
                <w:sz w:val="20"/>
                <w:szCs w:val="20"/>
              </w:rPr>
              <w:t>Period</w:t>
            </w:r>
          </w:p>
        </w:tc>
        <w:tc>
          <w:tcPr>
            <w:tcW w:w="1619" w:type="dxa"/>
          </w:tcPr>
          <w:p w:rsidR="00130A60" w:rsidRPr="0047024E" w:rsidRDefault="00130A60" w:rsidP="009D6AD4">
            <w:pPr>
              <w:pStyle w:val="NoSpacing"/>
              <w:rPr>
                <w:b/>
                <w:sz w:val="20"/>
                <w:szCs w:val="20"/>
              </w:rPr>
            </w:pPr>
            <w:r w:rsidRPr="0047024E">
              <w:rPr>
                <w:b/>
                <w:sz w:val="20"/>
                <w:szCs w:val="20"/>
              </w:rPr>
              <w:t>Summary Description</w:t>
            </w:r>
          </w:p>
        </w:tc>
        <w:tc>
          <w:tcPr>
            <w:tcW w:w="1619" w:type="dxa"/>
          </w:tcPr>
          <w:p w:rsidR="00130A60" w:rsidRPr="0047024E" w:rsidRDefault="00130A60" w:rsidP="009D6AD4">
            <w:pPr>
              <w:pStyle w:val="NoSpacing"/>
              <w:rPr>
                <w:b/>
                <w:sz w:val="20"/>
                <w:szCs w:val="20"/>
              </w:rPr>
            </w:pPr>
            <w:r w:rsidRPr="0047024E">
              <w:rPr>
                <w:b/>
                <w:sz w:val="20"/>
                <w:szCs w:val="20"/>
              </w:rPr>
              <w:t>Significance of asset</w:t>
            </w:r>
          </w:p>
        </w:tc>
        <w:tc>
          <w:tcPr>
            <w:tcW w:w="1619" w:type="dxa"/>
          </w:tcPr>
          <w:p w:rsidR="00130A60" w:rsidRPr="0047024E" w:rsidRDefault="00130A60" w:rsidP="009D6AD4">
            <w:pPr>
              <w:pStyle w:val="NoSpacing"/>
              <w:rPr>
                <w:b/>
                <w:sz w:val="20"/>
                <w:szCs w:val="20"/>
              </w:rPr>
            </w:pPr>
            <w:r w:rsidRPr="0047024E">
              <w:rPr>
                <w:b/>
                <w:sz w:val="20"/>
                <w:szCs w:val="20"/>
              </w:rPr>
              <w:t>Change to Setting</w:t>
            </w:r>
          </w:p>
        </w:tc>
        <w:tc>
          <w:tcPr>
            <w:tcW w:w="1619" w:type="dxa"/>
          </w:tcPr>
          <w:p w:rsidR="00130A60" w:rsidRPr="0047024E" w:rsidRDefault="00130A60" w:rsidP="009D6AD4">
            <w:pPr>
              <w:pStyle w:val="NoSpacing"/>
              <w:rPr>
                <w:b/>
                <w:sz w:val="20"/>
                <w:szCs w:val="20"/>
              </w:rPr>
            </w:pPr>
            <w:r w:rsidRPr="0047024E">
              <w:rPr>
                <w:b/>
                <w:sz w:val="20"/>
                <w:szCs w:val="20"/>
              </w:rPr>
              <w:t>Effect on significance</w:t>
            </w:r>
          </w:p>
        </w:tc>
      </w:tr>
      <w:tr w:rsidR="00130A60" w:rsidRPr="0047024E" w:rsidTr="009D6AD4">
        <w:tc>
          <w:tcPr>
            <w:tcW w:w="1618"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1197659</w:t>
            </w:r>
          </w:p>
        </w:tc>
        <w:tc>
          <w:tcPr>
            <w:tcW w:w="1618" w:type="dxa"/>
          </w:tcPr>
          <w:p w:rsidR="00130A60" w:rsidRPr="0047024E" w:rsidRDefault="00130A60" w:rsidP="009D6AD4">
            <w:pPr>
              <w:pStyle w:val="NoSpacing"/>
              <w:rPr>
                <w:sz w:val="20"/>
                <w:szCs w:val="20"/>
              </w:rPr>
            </w:pPr>
            <w:r w:rsidRPr="0047024E">
              <w:rPr>
                <w:rFonts w:cs="Times New Roman"/>
                <w:sz w:val="20"/>
                <w:szCs w:val="20"/>
              </w:rPr>
              <w:t>Building between Kings Market &amp; Wool Exchange</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Grade II</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C19</w:t>
            </w:r>
          </w:p>
        </w:tc>
        <w:tc>
          <w:tcPr>
            <w:tcW w:w="1619" w:type="dxa"/>
          </w:tcPr>
          <w:p w:rsidR="00130A60" w:rsidRPr="0047024E" w:rsidRDefault="00130A60" w:rsidP="009D6AD4">
            <w:pPr>
              <w:pStyle w:val="NoSpacing"/>
              <w:rPr>
                <w:sz w:val="20"/>
                <w:szCs w:val="20"/>
              </w:rPr>
            </w:pPr>
            <w:r w:rsidRPr="0047024E">
              <w:rPr>
                <w:sz w:val="20"/>
                <w:szCs w:val="20"/>
              </w:rPr>
              <w:t>Former warehouse</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Medium</w:t>
            </w:r>
          </w:p>
        </w:tc>
        <w:tc>
          <w:tcPr>
            <w:tcW w:w="1619" w:type="dxa"/>
          </w:tcPr>
          <w:p w:rsidR="00130A60" w:rsidRPr="0047024E" w:rsidRDefault="00130A60" w:rsidP="009D6AD4">
            <w:pPr>
              <w:pStyle w:val="NoSpacing"/>
              <w:rPr>
                <w:sz w:val="20"/>
                <w:szCs w:val="20"/>
              </w:rPr>
            </w:pPr>
            <w:r w:rsidRPr="0047024E">
              <w:rPr>
                <w:sz w:val="20"/>
                <w:szCs w:val="20"/>
              </w:rPr>
              <w:t>Minor</w:t>
            </w:r>
          </w:p>
          <w:p w:rsidR="00130A60" w:rsidRPr="0047024E" w:rsidRDefault="00130A60" w:rsidP="009D6AD4">
            <w:pPr>
              <w:pStyle w:val="NoSpacing"/>
              <w:rPr>
                <w:sz w:val="20"/>
                <w:szCs w:val="20"/>
              </w:rPr>
            </w:pPr>
            <w:r w:rsidRPr="0047024E">
              <w:rPr>
                <w:sz w:val="20"/>
                <w:szCs w:val="20"/>
              </w:rPr>
              <w:t>(Temporary)</w:t>
            </w:r>
          </w:p>
        </w:tc>
        <w:tc>
          <w:tcPr>
            <w:tcW w:w="1619" w:type="dxa"/>
          </w:tcPr>
          <w:p w:rsidR="00130A60" w:rsidRPr="0047024E" w:rsidRDefault="00130A60" w:rsidP="009D6AD4">
            <w:pPr>
              <w:widowControl w:val="0"/>
              <w:autoSpaceDE w:val="0"/>
              <w:autoSpaceDN w:val="0"/>
              <w:adjustRightInd w:val="0"/>
              <w:spacing w:after="240" w:line="360" w:lineRule="atLeast"/>
              <w:rPr>
                <w:rFonts w:cs="Times"/>
                <w:sz w:val="20"/>
                <w:szCs w:val="20"/>
              </w:rPr>
            </w:pPr>
            <w:r w:rsidRPr="0047024E">
              <w:rPr>
                <w:rFonts w:cs="Times"/>
                <w:sz w:val="20"/>
                <w:szCs w:val="20"/>
              </w:rPr>
              <w:t>Medium</w:t>
            </w:r>
          </w:p>
        </w:tc>
      </w:tr>
    </w:tbl>
    <w:p w:rsidR="00667FDE" w:rsidRDefault="00667FDE" w:rsidP="007854CF"/>
    <w:p w:rsidR="00EF5853" w:rsidRDefault="00EF5853" w:rsidP="00EF5853"/>
    <w:sectPr w:rsidR="00EF5853" w:rsidSect="00523065">
      <w:footerReference w:type="default" r:id="rId1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646" w:rsidRDefault="00821646" w:rsidP="007854CF">
      <w:pPr>
        <w:spacing w:after="0" w:line="240" w:lineRule="auto"/>
      </w:pPr>
      <w:r>
        <w:separator/>
      </w:r>
    </w:p>
  </w:endnote>
  <w:endnote w:type="continuationSeparator" w:id="0">
    <w:p w:rsidR="00821646" w:rsidRDefault="00821646" w:rsidP="00785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436744"/>
      <w:docPartObj>
        <w:docPartGallery w:val="Page Numbers (Bottom of Page)"/>
        <w:docPartUnique/>
      </w:docPartObj>
    </w:sdtPr>
    <w:sdtEndPr>
      <w:rPr>
        <w:noProof/>
      </w:rPr>
    </w:sdtEndPr>
    <w:sdtContent>
      <w:p w:rsidR="00523065" w:rsidRDefault="00523065">
        <w:pPr>
          <w:pStyle w:val="Footer"/>
          <w:jc w:val="right"/>
        </w:pPr>
        <w:r>
          <w:fldChar w:fldCharType="begin"/>
        </w:r>
        <w:r>
          <w:instrText xml:space="preserve"> PAGE   \* MERGEFORMAT </w:instrText>
        </w:r>
        <w:r>
          <w:fldChar w:fldCharType="separate"/>
        </w:r>
        <w:r w:rsidR="00E123C4">
          <w:rPr>
            <w:noProof/>
          </w:rPr>
          <w:t>2</w:t>
        </w:r>
        <w:r>
          <w:rPr>
            <w:noProof/>
          </w:rPr>
          <w:fldChar w:fldCharType="end"/>
        </w:r>
      </w:p>
    </w:sdtContent>
  </w:sdt>
  <w:p w:rsidR="00523065" w:rsidRDefault="00523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646" w:rsidRDefault="00821646" w:rsidP="007854CF">
      <w:pPr>
        <w:spacing w:after="0" w:line="240" w:lineRule="auto"/>
      </w:pPr>
      <w:r>
        <w:separator/>
      </w:r>
    </w:p>
  </w:footnote>
  <w:footnote w:type="continuationSeparator" w:id="0">
    <w:p w:rsidR="00821646" w:rsidRDefault="00821646" w:rsidP="007854CF">
      <w:pPr>
        <w:spacing w:after="0" w:line="240" w:lineRule="auto"/>
      </w:pPr>
      <w:r>
        <w:continuationSeparator/>
      </w:r>
    </w:p>
  </w:footnote>
  <w:footnote w:id="1">
    <w:p w:rsidR="007854CF" w:rsidRDefault="007854CF">
      <w:pPr>
        <w:pStyle w:val="FootnoteText"/>
      </w:pPr>
      <w:r w:rsidRPr="0047024E">
        <w:rPr>
          <w:rStyle w:val="FootnoteReference"/>
        </w:rPr>
        <w:footnoteRef/>
      </w:r>
      <w:r w:rsidRPr="0047024E">
        <w:t xml:space="preserve"> As noted in the Hull Local Plan submission document.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B1A23"/>
    <w:multiLevelType w:val="multilevel"/>
    <w:tmpl w:val="AFBE8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0B21A0"/>
    <w:multiLevelType w:val="multilevel"/>
    <w:tmpl w:val="837C981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3374D0F"/>
    <w:multiLevelType w:val="hybridMultilevel"/>
    <w:tmpl w:val="143CC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34829"/>
    <w:multiLevelType w:val="multilevel"/>
    <w:tmpl w:val="361A127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ECD1F53"/>
    <w:multiLevelType w:val="hybridMultilevel"/>
    <w:tmpl w:val="BEDA25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90E0580"/>
    <w:multiLevelType w:val="multilevel"/>
    <w:tmpl w:val="7732495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EA617A0"/>
    <w:multiLevelType w:val="multilevel"/>
    <w:tmpl w:val="3800AA3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5895C93"/>
    <w:multiLevelType w:val="multilevel"/>
    <w:tmpl w:val="84BE0A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72A6038"/>
    <w:multiLevelType w:val="multilevel"/>
    <w:tmpl w:val="3EBAAF6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04E5CE4"/>
    <w:multiLevelType w:val="hybridMultilevel"/>
    <w:tmpl w:val="9C0A9C12"/>
    <w:lvl w:ilvl="0" w:tplc="1A3CC09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356B9E"/>
    <w:multiLevelType w:val="multilevel"/>
    <w:tmpl w:val="B582E7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98539DF"/>
    <w:multiLevelType w:val="multilevel"/>
    <w:tmpl w:val="A566E06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BDD1E2B"/>
    <w:multiLevelType w:val="multilevel"/>
    <w:tmpl w:val="C568C91A"/>
    <w:lvl w:ilvl="0">
      <w:start w:val="3"/>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2"/>
  </w:num>
  <w:num w:numId="2">
    <w:abstractNumId w:val="4"/>
  </w:num>
  <w:num w:numId="3">
    <w:abstractNumId w:val="7"/>
  </w:num>
  <w:num w:numId="4">
    <w:abstractNumId w:val="9"/>
  </w:num>
  <w:num w:numId="5">
    <w:abstractNumId w:val="12"/>
  </w:num>
  <w:num w:numId="6">
    <w:abstractNumId w:val="0"/>
  </w:num>
  <w:num w:numId="7">
    <w:abstractNumId w:val="6"/>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D09"/>
    <w:rsid w:val="000603EF"/>
    <w:rsid w:val="00084032"/>
    <w:rsid w:val="000B6053"/>
    <w:rsid w:val="000D762F"/>
    <w:rsid w:val="00130A60"/>
    <w:rsid w:val="0019269F"/>
    <w:rsid w:val="001C669A"/>
    <w:rsid w:val="001E7ECD"/>
    <w:rsid w:val="001F1F4F"/>
    <w:rsid w:val="00273A24"/>
    <w:rsid w:val="00277E54"/>
    <w:rsid w:val="002A4A3E"/>
    <w:rsid w:val="002F6946"/>
    <w:rsid w:val="003135B5"/>
    <w:rsid w:val="00397CFD"/>
    <w:rsid w:val="0047024E"/>
    <w:rsid w:val="004807A6"/>
    <w:rsid w:val="00523065"/>
    <w:rsid w:val="00581388"/>
    <w:rsid w:val="005F79B9"/>
    <w:rsid w:val="00662A53"/>
    <w:rsid w:val="00663EFF"/>
    <w:rsid w:val="00667FDE"/>
    <w:rsid w:val="006A671E"/>
    <w:rsid w:val="006B306C"/>
    <w:rsid w:val="007854CF"/>
    <w:rsid w:val="00821646"/>
    <w:rsid w:val="008329D7"/>
    <w:rsid w:val="008C22F5"/>
    <w:rsid w:val="009C6E72"/>
    <w:rsid w:val="009D4EFB"/>
    <w:rsid w:val="009F1A96"/>
    <w:rsid w:val="00A563D8"/>
    <w:rsid w:val="00A8067F"/>
    <w:rsid w:val="00B04452"/>
    <w:rsid w:val="00B5530C"/>
    <w:rsid w:val="00B74F0C"/>
    <w:rsid w:val="00BC7262"/>
    <w:rsid w:val="00BD6BEE"/>
    <w:rsid w:val="00BE0FA5"/>
    <w:rsid w:val="00C12F85"/>
    <w:rsid w:val="00C12FCA"/>
    <w:rsid w:val="00C45E13"/>
    <w:rsid w:val="00C94D09"/>
    <w:rsid w:val="00CA79D2"/>
    <w:rsid w:val="00D20E19"/>
    <w:rsid w:val="00D35F4F"/>
    <w:rsid w:val="00DB6BE4"/>
    <w:rsid w:val="00E123C4"/>
    <w:rsid w:val="00E1524B"/>
    <w:rsid w:val="00E5701B"/>
    <w:rsid w:val="00E70A81"/>
    <w:rsid w:val="00E75F8C"/>
    <w:rsid w:val="00EE28BD"/>
    <w:rsid w:val="00EF5853"/>
    <w:rsid w:val="00F02C37"/>
    <w:rsid w:val="00F04033"/>
    <w:rsid w:val="00F04C40"/>
    <w:rsid w:val="00F129D9"/>
    <w:rsid w:val="00F14238"/>
    <w:rsid w:val="00FE5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0B3D50E-96D1-442B-A5D0-D136D833B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D09"/>
    <w:pPr>
      <w:ind w:left="720"/>
      <w:contextualSpacing/>
    </w:pPr>
  </w:style>
  <w:style w:type="paragraph" w:styleId="FootnoteText">
    <w:name w:val="footnote text"/>
    <w:basedOn w:val="Normal"/>
    <w:link w:val="FootnoteTextChar"/>
    <w:uiPriority w:val="99"/>
    <w:semiHidden/>
    <w:unhideWhenUsed/>
    <w:rsid w:val="007854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54CF"/>
    <w:rPr>
      <w:sz w:val="20"/>
      <w:szCs w:val="20"/>
    </w:rPr>
  </w:style>
  <w:style w:type="character" w:styleId="FootnoteReference">
    <w:name w:val="footnote reference"/>
    <w:basedOn w:val="DefaultParagraphFont"/>
    <w:uiPriority w:val="99"/>
    <w:semiHidden/>
    <w:unhideWhenUsed/>
    <w:rsid w:val="007854CF"/>
    <w:rPr>
      <w:vertAlign w:val="superscript"/>
    </w:rPr>
  </w:style>
  <w:style w:type="paragraph" w:styleId="BalloonText">
    <w:name w:val="Balloon Text"/>
    <w:basedOn w:val="Normal"/>
    <w:link w:val="BalloonTextChar"/>
    <w:uiPriority w:val="99"/>
    <w:semiHidden/>
    <w:unhideWhenUsed/>
    <w:rsid w:val="00B044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452"/>
    <w:rPr>
      <w:rFonts w:ascii="Segoe UI" w:hAnsi="Segoe UI" w:cs="Segoe UI"/>
      <w:sz w:val="18"/>
      <w:szCs w:val="18"/>
    </w:rPr>
  </w:style>
  <w:style w:type="table" w:styleId="TableGrid">
    <w:name w:val="Table Grid"/>
    <w:basedOn w:val="TableNormal"/>
    <w:uiPriority w:val="39"/>
    <w:rsid w:val="00130A6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30A60"/>
    <w:pPr>
      <w:spacing w:after="0" w:line="240" w:lineRule="auto"/>
    </w:pPr>
    <w:rPr>
      <w:sz w:val="24"/>
      <w:szCs w:val="24"/>
    </w:rPr>
  </w:style>
  <w:style w:type="paragraph" w:styleId="Header">
    <w:name w:val="header"/>
    <w:basedOn w:val="Normal"/>
    <w:link w:val="HeaderChar"/>
    <w:uiPriority w:val="99"/>
    <w:unhideWhenUsed/>
    <w:rsid w:val="005230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3065"/>
  </w:style>
  <w:style w:type="paragraph" w:styleId="Footer">
    <w:name w:val="footer"/>
    <w:basedOn w:val="Normal"/>
    <w:link w:val="FooterChar"/>
    <w:uiPriority w:val="99"/>
    <w:unhideWhenUsed/>
    <w:rsid w:val="005230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065"/>
  </w:style>
  <w:style w:type="paragraph" w:styleId="NormalWeb">
    <w:name w:val="Normal (Web)"/>
    <w:basedOn w:val="Normal"/>
    <w:uiPriority w:val="99"/>
    <w:semiHidden/>
    <w:unhideWhenUsed/>
    <w:rsid w:val="00C12FCA"/>
    <w:pPr>
      <w:spacing w:before="100" w:beforeAutospacing="1" w:after="100" w:afterAutospacing="1" w:line="240" w:lineRule="auto"/>
    </w:pPr>
    <w:rPr>
      <w:rFonts w:ascii="Calibri" w:eastAsiaTheme="minorHAnsi" w:hAnsi="Calibri" w:cs="Times New Roman"/>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09836">
      <w:bodyDiv w:val="1"/>
      <w:marLeft w:val="0"/>
      <w:marRight w:val="0"/>
      <w:marTop w:val="0"/>
      <w:marBottom w:val="0"/>
      <w:divBdr>
        <w:top w:val="none" w:sz="0" w:space="0" w:color="auto"/>
        <w:left w:val="none" w:sz="0" w:space="0" w:color="auto"/>
        <w:bottom w:val="none" w:sz="0" w:space="0" w:color="auto"/>
        <w:right w:val="none" w:sz="0" w:space="0" w:color="auto"/>
      </w:divBdr>
    </w:div>
    <w:div w:id="564222790">
      <w:bodyDiv w:val="1"/>
      <w:marLeft w:val="0"/>
      <w:marRight w:val="0"/>
      <w:marTop w:val="0"/>
      <w:marBottom w:val="0"/>
      <w:divBdr>
        <w:top w:val="none" w:sz="0" w:space="0" w:color="auto"/>
        <w:left w:val="none" w:sz="0" w:space="0" w:color="auto"/>
        <w:bottom w:val="none" w:sz="0" w:space="0" w:color="auto"/>
        <w:right w:val="none" w:sz="0" w:space="0" w:color="auto"/>
      </w:divBdr>
    </w:div>
    <w:div w:id="1502237283">
      <w:bodyDiv w:val="1"/>
      <w:marLeft w:val="0"/>
      <w:marRight w:val="0"/>
      <w:marTop w:val="0"/>
      <w:marBottom w:val="0"/>
      <w:divBdr>
        <w:top w:val="none" w:sz="0" w:space="0" w:color="auto"/>
        <w:left w:val="none" w:sz="0" w:space="0" w:color="auto"/>
        <w:bottom w:val="none" w:sz="0" w:space="0" w:color="auto"/>
        <w:right w:val="none" w:sz="0" w:space="0" w:color="auto"/>
      </w:divBdr>
    </w:div>
    <w:div w:id="197198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9" ma:contentTypeDescription="Create a new document." ma:contentTypeScope="" ma:versionID="3461e9ca063bea6fba86aead096f34a4">
  <xsd:schema xmlns:xsd="http://www.w3.org/2001/XMLSchema" xmlns:xs="http://www.w3.org/2001/XMLSchema" xmlns:p="http://schemas.microsoft.com/office/2006/metadata/properties" xmlns:ns2="80129174-c05c-43cc-8e32-21fcbdfe51bb" xmlns:ns3="958b15ed-c521-4290-b073-2e98d4cc1d7f" targetNamespace="http://schemas.microsoft.com/office/2006/metadata/properties" ma:root="true" ma:fieldsID="9d5db585cafcf91418be2bee6753ea20" ns2:_="" ns3:_="">
    <xsd:import namespace="80129174-c05c-43cc-8e32-21fcbdfe51bb"/>
    <xsd:import namespace="958b15ed-c521-4290-b073-2e98d4cc1d7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3CD42B-6D2F-475D-826F-128D26100C74}">
  <ds:schemaRefs>
    <ds:schemaRef ds:uri="http://schemas.openxmlformats.org/officeDocument/2006/bibliography"/>
  </ds:schemaRefs>
</ds:datastoreItem>
</file>

<file path=customXml/itemProps2.xml><?xml version="1.0" encoding="utf-8"?>
<ds:datastoreItem xmlns:ds="http://schemas.openxmlformats.org/officeDocument/2006/customXml" ds:itemID="{D5BE69E3-C502-4EC4-90FC-3D9B40DFBECE}"/>
</file>

<file path=customXml/itemProps3.xml><?xml version="1.0" encoding="utf-8"?>
<ds:datastoreItem xmlns:ds="http://schemas.openxmlformats.org/officeDocument/2006/customXml" ds:itemID="{7FD2B643-343D-48B8-8A72-2EBD40B0244A}"/>
</file>

<file path=customXml/itemProps4.xml><?xml version="1.0" encoding="utf-8"?>
<ds:datastoreItem xmlns:ds="http://schemas.openxmlformats.org/officeDocument/2006/customXml" ds:itemID="{BF752035-B42F-4628-9638-4652E3923545}"/>
</file>

<file path=docProps/app.xml><?xml version="1.0" encoding="utf-8"?>
<Properties xmlns="http://schemas.openxmlformats.org/officeDocument/2006/extended-properties" xmlns:vt="http://schemas.openxmlformats.org/officeDocument/2006/docPropsVTypes">
  <Template>Normal.dotm</Template>
  <TotalTime>1</TotalTime>
  <Pages>11</Pages>
  <Words>3097</Words>
  <Characters>17656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Bak Mortensen</dc:creator>
  <cp:lastModifiedBy>Sam Wilkinson (Sayer)</cp:lastModifiedBy>
  <cp:revision>2</cp:revision>
  <dcterms:created xsi:type="dcterms:W3CDTF">2017-06-12T08:48:00Z</dcterms:created>
  <dcterms:modified xsi:type="dcterms:W3CDTF">2017-06-12T08:48:00Z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