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B6B7B" w:rsidTr="002B6B7B">
        <w:tc>
          <w:tcPr>
            <w:tcW w:w="4315" w:type="dxa"/>
          </w:tcPr>
          <w:p w:rsidR="002B6B7B" w:rsidRPr="006B5F5F" w:rsidRDefault="002B6B7B">
            <w:pPr>
              <w:rPr>
                <w:b/>
                <w:color w:val="auto"/>
              </w:rPr>
            </w:pPr>
            <w:r w:rsidRPr="006B5F5F">
              <w:rPr>
                <w:b/>
                <w:color w:val="auto"/>
              </w:rPr>
              <w:t>Audiences = Ethnicity</w:t>
            </w:r>
          </w:p>
        </w:tc>
        <w:tc>
          <w:tcPr>
            <w:tcW w:w="4315" w:type="dxa"/>
          </w:tcPr>
          <w:p w:rsidR="002B6B7B" w:rsidRPr="006B5F5F" w:rsidRDefault="002B6B7B">
            <w:pPr>
              <w:rPr>
                <w:b/>
                <w:color w:val="auto"/>
              </w:rPr>
            </w:pPr>
            <w:r w:rsidRPr="006B5F5F">
              <w:rPr>
                <w:b/>
                <w:color w:val="auto"/>
              </w:rPr>
              <w:t>Percentages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British and N Ireland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85%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Irish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1%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Any other white back ground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4%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White and Asian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3%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Indian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3%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Pakistani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1%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Chinese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2%</w:t>
            </w:r>
          </w:p>
        </w:tc>
      </w:tr>
      <w:tr w:rsidR="002B6B7B" w:rsidTr="002B6B7B"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Caribbean</w:t>
            </w:r>
          </w:p>
        </w:tc>
        <w:tc>
          <w:tcPr>
            <w:tcW w:w="4315" w:type="dxa"/>
          </w:tcPr>
          <w:p w:rsidR="002B6B7B" w:rsidRDefault="002B6B7B">
            <w:pPr>
              <w:rPr>
                <w:color w:val="auto"/>
              </w:rPr>
            </w:pPr>
            <w:r>
              <w:rPr>
                <w:color w:val="auto"/>
              </w:rPr>
              <w:t>1%</w:t>
            </w:r>
          </w:p>
        </w:tc>
      </w:tr>
    </w:tbl>
    <w:p w:rsidR="00F23D72" w:rsidRDefault="00F23D72">
      <w:pPr>
        <w:rPr>
          <w:color w:val="auto"/>
        </w:rPr>
      </w:pPr>
    </w:p>
    <w:p w:rsidR="006B5F5F" w:rsidRDefault="006B5F5F">
      <w:pPr>
        <w:rPr>
          <w:color w:val="auto"/>
        </w:rPr>
      </w:pPr>
    </w:p>
    <w:p w:rsidR="006B5F5F" w:rsidRDefault="006B5F5F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B5F5F" w:rsidTr="006B5F5F">
        <w:tc>
          <w:tcPr>
            <w:tcW w:w="4315" w:type="dxa"/>
          </w:tcPr>
          <w:p w:rsidR="006B5F5F" w:rsidRPr="006B5F5F" w:rsidRDefault="006B5F5F">
            <w:pPr>
              <w:rPr>
                <w:b/>
                <w:color w:val="auto"/>
              </w:rPr>
            </w:pPr>
            <w:r w:rsidRPr="006B5F5F">
              <w:rPr>
                <w:b/>
                <w:color w:val="auto"/>
              </w:rPr>
              <w:t>Audiences = Gender</w:t>
            </w:r>
          </w:p>
        </w:tc>
        <w:tc>
          <w:tcPr>
            <w:tcW w:w="4315" w:type="dxa"/>
          </w:tcPr>
          <w:p w:rsidR="006B5F5F" w:rsidRPr="006B5F5F" w:rsidRDefault="006B5F5F">
            <w:pPr>
              <w:rPr>
                <w:b/>
                <w:color w:val="auto"/>
              </w:rPr>
            </w:pPr>
            <w:r w:rsidRPr="006B5F5F">
              <w:rPr>
                <w:b/>
                <w:color w:val="auto"/>
              </w:rPr>
              <w:t>Percentages</w:t>
            </w:r>
          </w:p>
        </w:tc>
      </w:tr>
      <w:tr w:rsidR="006B5F5F" w:rsidTr="006B5F5F">
        <w:tc>
          <w:tcPr>
            <w:tcW w:w="4315" w:type="dxa"/>
          </w:tcPr>
          <w:p w:rsidR="006B5F5F" w:rsidRDefault="006B5F5F">
            <w:pPr>
              <w:rPr>
                <w:color w:val="auto"/>
              </w:rPr>
            </w:pPr>
            <w:r>
              <w:rPr>
                <w:color w:val="auto"/>
              </w:rPr>
              <w:t>Male</w:t>
            </w:r>
          </w:p>
        </w:tc>
        <w:tc>
          <w:tcPr>
            <w:tcW w:w="4315" w:type="dxa"/>
          </w:tcPr>
          <w:p w:rsidR="006B5F5F" w:rsidRDefault="006B5F5F">
            <w:pPr>
              <w:rPr>
                <w:color w:val="auto"/>
              </w:rPr>
            </w:pPr>
            <w:r>
              <w:rPr>
                <w:color w:val="auto"/>
              </w:rPr>
              <w:t>45%</w:t>
            </w:r>
          </w:p>
        </w:tc>
      </w:tr>
      <w:tr w:rsidR="006B5F5F" w:rsidTr="006B5F5F">
        <w:tc>
          <w:tcPr>
            <w:tcW w:w="4315" w:type="dxa"/>
          </w:tcPr>
          <w:p w:rsidR="006B5F5F" w:rsidRDefault="006B5F5F">
            <w:pPr>
              <w:rPr>
                <w:color w:val="auto"/>
              </w:rPr>
            </w:pPr>
            <w:r>
              <w:rPr>
                <w:color w:val="auto"/>
              </w:rPr>
              <w:t>Female</w:t>
            </w:r>
          </w:p>
        </w:tc>
        <w:tc>
          <w:tcPr>
            <w:tcW w:w="4315" w:type="dxa"/>
          </w:tcPr>
          <w:p w:rsidR="006B5F5F" w:rsidRDefault="006B5F5F">
            <w:pPr>
              <w:rPr>
                <w:color w:val="auto"/>
              </w:rPr>
            </w:pPr>
            <w:r>
              <w:rPr>
                <w:color w:val="auto"/>
              </w:rPr>
              <w:t>55%</w:t>
            </w:r>
          </w:p>
        </w:tc>
      </w:tr>
    </w:tbl>
    <w:p w:rsidR="006B5F5F" w:rsidRDefault="006B5F5F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B5F5F" w:rsidTr="00E7520A">
        <w:tc>
          <w:tcPr>
            <w:tcW w:w="4315" w:type="dxa"/>
          </w:tcPr>
          <w:p w:rsidR="006B5F5F" w:rsidRPr="006B5F5F" w:rsidRDefault="006B5F5F" w:rsidP="00E7520A">
            <w:pPr>
              <w:rPr>
                <w:b/>
                <w:color w:val="auto"/>
              </w:rPr>
            </w:pPr>
            <w:r w:rsidRPr="006B5F5F">
              <w:rPr>
                <w:b/>
                <w:color w:val="auto"/>
              </w:rPr>
              <w:t xml:space="preserve">Audiences = </w:t>
            </w:r>
            <w:r w:rsidRPr="006B5F5F">
              <w:rPr>
                <w:b/>
                <w:color w:val="auto"/>
              </w:rPr>
              <w:t>Age</w:t>
            </w:r>
          </w:p>
        </w:tc>
        <w:tc>
          <w:tcPr>
            <w:tcW w:w="4315" w:type="dxa"/>
          </w:tcPr>
          <w:p w:rsidR="006B5F5F" w:rsidRPr="006B5F5F" w:rsidRDefault="006B5F5F" w:rsidP="00E7520A">
            <w:pPr>
              <w:rPr>
                <w:b/>
                <w:color w:val="auto"/>
              </w:rPr>
            </w:pPr>
            <w:r w:rsidRPr="006B5F5F">
              <w:rPr>
                <w:b/>
                <w:color w:val="auto"/>
              </w:rPr>
              <w:t>Percentages</w:t>
            </w:r>
          </w:p>
        </w:tc>
      </w:tr>
      <w:tr w:rsidR="006B5F5F" w:rsidTr="00E7520A">
        <w:tc>
          <w:tcPr>
            <w:tcW w:w="4315" w:type="dxa"/>
          </w:tcPr>
          <w:p w:rsidR="006B5F5F" w:rsidRDefault="006B5F5F" w:rsidP="00E7520A">
            <w:pPr>
              <w:rPr>
                <w:color w:val="auto"/>
              </w:rPr>
            </w:pPr>
            <w:r>
              <w:rPr>
                <w:color w:val="auto"/>
              </w:rPr>
              <w:t>11 – 19</w:t>
            </w:r>
          </w:p>
        </w:tc>
        <w:tc>
          <w:tcPr>
            <w:tcW w:w="4315" w:type="dxa"/>
          </w:tcPr>
          <w:p w:rsidR="006B5F5F" w:rsidRDefault="00715F13" w:rsidP="00E7520A">
            <w:pPr>
              <w:rPr>
                <w:color w:val="auto"/>
              </w:rPr>
            </w:pPr>
            <w:r>
              <w:rPr>
                <w:color w:val="auto"/>
              </w:rPr>
              <w:t>25%</w:t>
            </w:r>
          </w:p>
        </w:tc>
      </w:tr>
      <w:tr w:rsidR="006B5F5F" w:rsidTr="00E7520A">
        <w:tc>
          <w:tcPr>
            <w:tcW w:w="4315" w:type="dxa"/>
          </w:tcPr>
          <w:p w:rsidR="006B5F5F" w:rsidRDefault="006B5F5F" w:rsidP="00E7520A">
            <w:pPr>
              <w:rPr>
                <w:color w:val="auto"/>
              </w:rPr>
            </w:pPr>
            <w:r>
              <w:rPr>
                <w:color w:val="auto"/>
              </w:rPr>
              <w:t>20 – 29</w:t>
            </w:r>
          </w:p>
        </w:tc>
        <w:tc>
          <w:tcPr>
            <w:tcW w:w="4315" w:type="dxa"/>
          </w:tcPr>
          <w:p w:rsidR="006B5F5F" w:rsidRDefault="00715F13" w:rsidP="00E7520A">
            <w:pPr>
              <w:rPr>
                <w:color w:val="auto"/>
              </w:rPr>
            </w:pPr>
            <w:r>
              <w:rPr>
                <w:color w:val="auto"/>
              </w:rPr>
              <w:t>13%</w:t>
            </w:r>
          </w:p>
        </w:tc>
      </w:tr>
      <w:tr w:rsidR="006B5F5F" w:rsidTr="00E7520A">
        <w:tc>
          <w:tcPr>
            <w:tcW w:w="4315" w:type="dxa"/>
          </w:tcPr>
          <w:p w:rsidR="006B5F5F" w:rsidRDefault="006B5F5F" w:rsidP="00E7520A">
            <w:pPr>
              <w:rPr>
                <w:color w:val="auto"/>
              </w:rPr>
            </w:pPr>
            <w:r>
              <w:rPr>
                <w:color w:val="auto"/>
              </w:rPr>
              <w:t>30 – 39</w:t>
            </w:r>
          </w:p>
        </w:tc>
        <w:tc>
          <w:tcPr>
            <w:tcW w:w="4315" w:type="dxa"/>
          </w:tcPr>
          <w:p w:rsidR="006B5F5F" w:rsidRDefault="00715F13" w:rsidP="00E7520A">
            <w:pPr>
              <w:rPr>
                <w:color w:val="auto"/>
              </w:rPr>
            </w:pPr>
            <w:r>
              <w:rPr>
                <w:color w:val="auto"/>
              </w:rPr>
              <w:t>10%</w:t>
            </w:r>
          </w:p>
        </w:tc>
      </w:tr>
      <w:tr w:rsidR="006B5F5F" w:rsidTr="00E7520A">
        <w:tc>
          <w:tcPr>
            <w:tcW w:w="4315" w:type="dxa"/>
          </w:tcPr>
          <w:p w:rsidR="006B5F5F" w:rsidRDefault="006B5F5F" w:rsidP="00E7520A">
            <w:pPr>
              <w:rPr>
                <w:color w:val="auto"/>
              </w:rPr>
            </w:pPr>
            <w:r>
              <w:rPr>
                <w:color w:val="auto"/>
              </w:rPr>
              <w:t>40 – 49</w:t>
            </w:r>
          </w:p>
        </w:tc>
        <w:tc>
          <w:tcPr>
            <w:tcW w:w="4315" w:type="dxa"/>
          </w:tcPr>
          <w:p w:rsidR="006B5F5F" w:rsidRDefault="00715F13" w:rsidP="00E7520A">
            <w:pPr>
              <w:rPr>
                <w:color w:val="auto"/>
              </w:rPr>
            </w:pPr>
            <w:r>
              <w:rPr>
                <w:color w:val="auto"/>
              </w:rPr>
              <w:t>18%</w:t>
            </w:r>
          </w:p>
        </w:tc>
      </w:tr>
      <w:tr w:rsidR="006B5F5F" w:rsidTr="00E7520A">
        <w:tc>
          <w:tcPr>
            <w:tcW w:w="4315" w:type="dxa"/>
          </w:tcPr>
          <w:p w:rsidR="006B5F5F" w:rsidRDefault="006B5F5F" w:rsidP="00E7520A">
            <w:pPr>
              <w:rPr>
                <w:color w:val="auto"/>
              </w:rPr>
            </w:pPr>
            <w:r>
              <w:rPr>
                <w:color w:val="auto"/>
              </w:rPr>
              <w:t>50 – 59</w:t>
            </w:r>
          </w:p>
        </w:tc>
        <w:tc>
          <w:tcPr>
            <w:tcW w:w="4315" w:type="dxa"/>
          </w:tcPr>
          <w:p w:rsidR="006B5F5F" w:rsidRDefault="00715F13" w:rsidP="00E7520A">
            <w:pPr>
              <w:rPr>
                <w:color w:val="auto"/>
              </w:rPr>
            </w:pPr>
            <w:r>
              <w:rPr>
                <w:color w:val="auto"/>
              </w:rPr>
              <w:t>17%</w:t>
            </w:r>
          </w:p>
        </w:tc>
      </w:tr>
      <w:tr w:rsidR="006B5F5F" w:rsidTr="00E7520A">
        <w:tc>
          <w:tcPr>
            <w:tcW w:w="4315" w:type="dxa"/>
          </w:tcPr>
          <w:p w:rsidR="006B5F5F" w:rsidRDefault="006B5F5F" w:rsidP="00E7520A">
            <w:pPr>
              <w:rPr>
                <w:color w:val="auto"/>
              </w:rPr>
            </w:pPr>
            <w:r>
              <w:rPr>
                <w:color w:val="auto"/>
              </w:rPr>
              <w:t>60 – 65</w:t>
            </w:r>
          </w:p>
        </w:tc>
        <w:tc>
          <w:tcPr>
            <w:tcW w:w="4315" w:type="dxa"/>
          </w:tcPr>
          <w:p w:rsidR="006B5F5F" w:rsidRDefault="00715F13" w:rsidP="00E7520A">
            <w:pPr>
              <w:rPr>
                <w:color w:val="auto"/>
              </w:rPr>
            </w:pPr>
            <w:r>
              <w:rPr>
                <w:color w:val="auto"/>
              </w:rPr>
              <w:t>7%</w:t>
            </w:r>
          </w:p>
        </w:tc>
      </w:tr>
      <w:tr w:rsidR="006B5F5F" w:rsidTr="00E7520A">
        <w:tc>
          <w:tcPr>
            <w:tcW w:w="4315" w:type="dxa"/>
          </w:tcPr>
          <w:p w:rsidR="006B5F5F" w:rsidRDefault="006B5F5F" w:rsidP="00E7520A">
            <w:pPr>
              <w:rPr>
                <w:color w:val="auto"/>
              </w:rPr>
            </w:pPr>
            <w:r>
              <w:rPr>
                <w:color w:val="auto"/>
              </w:rPr>
              <w:t>65+</w:t>
            </w:r>
          </w:p>
        </w:tc>
        <w:tc>
          <w:tcPr>
            <w:tcW w:w="4315" w:type="dxa"/>
          </w:tcPr>
          <w:p w:rsidR="006B5F5F" w:rsidRDefault="00782268" w:rsidP="00E7520A">
            <w:pPr>
              <w:rPr>
                <w:color w:val="auto"/>
              </w:rPr>
            </w:pPr>
            <w:r>
              <w:rPr>
                <w:color w:val="auto"/>
              </w:rPr>
              <w:t>10%</w:t>
            </w:r>
            <w:bookmarkStart w:id="0" w:name="_GoBack"/>
            <w:bookmarkEnd w:id="0"/>
          </w:p>
        </w:tc>
      </w:tr>
    </w:tbl>
    <w:p w:rsidR="006B5F5F" w:rsidRPr="006B5F5F" w:rsidRDefault="006B5F5F">
      <w:pPr>
        <w:rPr>
          <w:b/>
          <w:color w:val="auto"/>
        </w:rPr>
      </w:pPr>
    </w:p>
    <w:sectPr w:rsidR="006B5F5F" w:rsidRPr="006B5F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7B"/>
    <w:rsid w:val="000334BE"/>
    <w:rsid w:val="002B6B7B"/>
    <w:rsid w:val="005C6743"/>
    <w:rsid w:val="006B5F5F"/>
    <w:rsid w:val="00715F13"/>
    <w:rsid w:val="00782268"/>
    <w:rsid w:val="0098310F"/>
    <w:rsid w:val="00DE34B4"/>
    <w:rsid w:val="00F23D72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D2092-AF5C-4F46-9423-47F20B0A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color w:val="FF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6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9E97A84-FB8E-4637-93A3-00A0213F42FF}"/>
</file>

<file path=customXml/itemProps2.xml><?xml version="1.0" encoding="utf-8"?>
<ds:datastoreItem xmlns:ds="http://schemas.openxmlformats.org/officeDocument/2006/customXml" ds:itemID="{1EBA6F89-BC37-4B8B-AE23-DED3A601E19D}"/>
</file>

<file path=customXml/itemProps3.xml><?xml version="1.0" encoding="utf-8"?>
<ds:datastoreItem xmlns:ds="http://schemas.openxmlformats.org/officeDocument/2006/customXml" ds:itemID="{3FF69163-0256-4946-90CF-9D8D127175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Ideal Standard International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Rheinberg, Tony</dc:creator>
  <cp:keywords/>
  <dc:description/>
  <cp:lastModifiedBy>Rheinberg, Tony</cp:lastModifiedBy>
  <cp:revision>3</cp:revision>
  <dcterms:created xsi:type="dcterms:W3CDTF">2017-12-01T10:33:00Z</dcterms:created>
  <dcterms:modified xsi:type="dcterms:W3CDTF">2017-12-01T10:45:00Z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