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</w:sdtPr>
          <w:sdtEndPr/>
          <w:sdtContent>
            <w:tc>
              <w:tcPr>
                <w:tcW w:w="992" w:type="dxa"/>
              </w:tcPr>
              <w:p w:rsidR="00364433" w:rsidRPr="00EA2A32" w:rsidRDefault="0050296A" w:rsidP="00880F38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880F38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50296A" w:rsidRPr="00EA2A32" w:rsidRDefault="00E93BA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7am – 11pm</w:t>
            </w:r>
          </w:p>
        </w:tc>
        <w:tc>
          <w:tcPr>
            <w:tcW w:w="1383" w:type="dxa"/>
          </w:tcPr>
          <w:p w:rsidR="0050296A" w:rsidRPr="00EA2A32" w:rsidRDefault="00E93BA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7am-11pm</w:t>
            </w:r>
          </w:p>
          <w:p w:rsidR="00EA2A32" w:rsidRPr="00EA2A32" w:rsidRDefault="00EA2A32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50296A" w:rsidRPr="00EA2A32" w:rsidRDefault="00E93BA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7am-11pm</w:t>
            </w:r>
          </w:p>
        </w:tc>
        <w:tc>
          <w:tcPr>
            <w:tcW w:w="1383" w:type="dxa"/>
          </w:tcPr>
          <w:p w:rsidR="0050296A" w:rsidRPr="00EA2A32" w:rsidRDefault="00E93BA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7am-11pm</w:t>
            </w:r>
          </w:p>
        </w:tc>
        <w:tc>
          <w:tcPr>
            <w:tcW w:w="1384" w:type="dxa"/>
          </w:tcPr>
          <w:p w:rsidR="0050296A" w:rsidRPr="00EA2A32" w:rsidRDefault="00E93BA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7am-11pm</w:t>
            </w:r>
          </w:p>
        </w:tc>
        <w:tc>
          <w:tcPr>
            <w:tcW w:w="1383" w:type="dxa"/>
          </w:tcPr>
          <w:p w:rsidR="0050296A" w:rsidRPr="00EA2A32" w:rsidRDefault="00E93BA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7am-11pm</w:t>
            </w:r>
          </w:p>
        </w:tc>
        <w:tc>
          <w:tcPr>
            <w:tcW w:w="1337" w:type="dxa"/>
          </w:tcPr>
          <w:p w:rsidR="0050296A" w:rsidRPr="00EA2A32" w:rsidRDefault="00E93BA3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7am-11pm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</w:p>
    <w:tbl>
      <w:tblPr>
        <w:tblStyle w:val="TableGrid"/>
        <w:tblW w:w="53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880F38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880F38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880F38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880F38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880F38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880F38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880F38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  <w:p w:rsidR="00EA2A32" w:rsidRDefault="00EA2A32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37" w:type="dxa"/>
          </w:tcPr>
          <w:p w:rsidR="0050296A" w:rsidRDefault="0050296A" w:rsidP="0050296A">
            <w:pPr>
              <w:jc w:val="center"/>
            </w:pP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EndPr/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880F38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>
        <w:rPr>
          <w:rFonts w:ascii="Trebuchet MS" w:hAnsi="Trebuchet MS"/>
          <w:b/>
          <w:color w:val="FF0000"/>
        </w:rPr>
        <w:t xml:space="preserve"> </w:t>
      </w:r>
      <w:r w:rsidRPr="009E5EFB">
        <w:rPr>
          <w:rFonts w:ascii="Trebuchet MS" w:hAnsi="Trebuchet MS"/>
          <w:b/>
          <w:color w:val="FF0000"/>
        </w:rPr>
        <w:t>‘</w:t>
      </w:r>
      <w:r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Anything other than this skip </w:t>
      </w:r>
      <w:r>
        <w:rPr>
          <w:rFonts w:ascii="Trebuchet MS" w:hAnsi="Trebuchet MS"/>
          <w:b/>
          <w:color w:val="FF0000"/>
        </w:rPr>
        <w:t>to Q7.</w:t>
      </w:r>
    </w:p>
    <w:p w:rsidR="00364433" w:rsidRPr="00364433" w:rsidRDefault="00E93BA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280035</wp:posOffset>
                </wp:positionH>
                <wp:positionV relativeFrom="paragraph">
                  <wp:posOffset>219710</wp:posOffset>
                </wp:positionV>
                <wp:extent cx="6000750" cy="1066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A32" w:rsidRDefault="00CC66A7">
                            <w:r>
                              <w:t xml:space="preserve">High level of footfall.  </w:t>
                            </w:r>
                            <w:r w:rsidR="00E93BA3">
                              <w:t>It was so well attended and people were in such good humour they were happy to relax and enjoy food and drink</w:t>
                            </w:r>
                            <w:r w:rsidR="00880F38">
                              <w:t>.  Our food and drink revenue increased threefold due to people attending the made in Hull event.  This is traditionally a quiet week for bedroom bookings and we estimate we received an additional 50 room night as a consequence – very appreciated at this time of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05pt;margin-top:17.3pt;width:472.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    <v:textbox>
                  <w:txbxContent>
                    <w:p w:rsidR="00EA2A32" w:rsidRDefault="00CC66A7">
                      <w:proofErr w:type="gramStart"/>
                      <w:r>
                        <w:t>High level of footfall.</w:t>
                      </w:r>
                      <w:proofErr w:type="gramEnd"/>
                      <w:r>
                        <w:t xml:space="preserve">  </w:t>
                      </w:r>
                      <w:r w:rsidR="00E93BA3">
                        <w:t>It was so well attended and people were in such good humour they were happy to relax and enjoy food and drink</w:t>
                      </w:r>
                      <w:r w:rsidR="00880F38">
                        <w:t>.  Our food and drink revenue increased threefold due to people attending the made in Hull event.  This is traditionally a quiet week for bedroom bookings and we estimate we received an additional 50 room night as a consequence – very appreciated at this time of year.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4433"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CC66A7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5B4BC4" w:rsidP="00097CED">
            <w:r>
              <w:t>38% Decrease</w:t>
            </w:r>
          </w:p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5B4BC4" w:rsidP="008108FE">
            <w:pPr>
              <w:jc w:val="center"/>
            </w:pPr>
            <w:r>
              <w:t>Decrease £25.6K</w:t>
            </w:r>
          </w:p>
        </w:tc>
      </w:tr>
    </w:tbl>
    <w:p w:rsidR="00E93BA3" w:rsidRDefault="00E93BA3" w:rsidP="00071AF9">
      <w:pPr>
        <w:pStyle w:val="ListParagraph"/>
        <w:ind w:left="360"/>
        <w:rPr>
          <w:rFonts w:ascii="Trebuchet MS" w:hAnsi="Trebuchet MS"/>
          <w:b/>
        </w:rPr>
      </w:pPr>
    </w:p>
    <w:p w:rsidR="00071AF9" w:rsidRPr="0050296A" w:rsidRDefault="00E93BA3" w:rsidP="00071AF9">
      <w:pPr>
        <w:pStyle w:val="ListParagraph"/>
        <w:ind w:left="36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*Please note in 2016 we had a large piece of accommodation business which did not repeat, this accounts for our drop in revenue</w:t>
      </w:r>
      <w:r w:rsidR="00307C2C">
        <w:rPr>
          <w:rFonts w:ascii="Trebuchet MS" w:hAnsi="Trebuchet MS"/>
          <w:b/>
        </w:rPr>
        <w:t>.  If I had been asked to compare the revenue to the same week without the Made in Hull event the figures would be more positive</w:t>
      </w:r>
      <w:bookmarkStart w:id="0" w:name="_GoBack"/>
      <w:bookmarkEnd w:id="0"/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CC66A7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p w:rsidR="00CC66A7" w:rsidRPr="00097CED" w:rsidRDefault="00CC66A7" w:rsidP="00CC66A7">
      <w:pPr>
        <w:pStyle w:val="ListParagraph"/>
        <w:spacing w:before="200"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Unable to provide these figures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CC66A7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many additional staff during the ‘Made in Hull’ opening event, and how many TOTAL hours did they work?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CC66A7" w:rsidP="008108FE">
            <w:pPr>
              <w:jc w:val="center"/>
            </w:pPr>
            <w:r>
              <w:t>none</w:t>
            </w: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CC66A7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CC66A7">
                  <w:rPr>
                    <w:rFonts w:ascii="Segoe UI Symbol" w:eastAsia="MS Gothic" w:hAnsi="Segoe UI Symbol" w:cs="Segoe UI Symbol"/>
                    <w:b/>
                  </w:rPr>
                  <w:t>✔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EndPr/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sectPr w:rsidR="00EA2A32" w:rsidSect="00EA2A32">
      <w:headerReference w:type="default" r:id="rId8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FC" w:rsidRDefault="000C09FC" w:rsidP="00EA2A32">
      <w:pPr>
        <w:spacing w:after="0" w:line="240" w:lineRule="auto"/>
      </w:pPr>
      <w:r>
        <w:separator/>
      </w:r>
    </w:p>
  </w:endnote>
  <w:endnote w:type="continuationSeparator" w:id="0">
    <w:p w:rsidR="000C09FC" w:rsidRDefault="000C09FC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FC" w:rsidRDefault="000C09FC" w:rsidP="00EA2A32">
      <w:pPr>
        <w:spacing w:after="0" w:line="240" w:lineRule="auto"/>
      </w:pPr>
      <w:r>
        <w:separator/>
      </w:r>
    </w:p>
  </w:footnote>
  <w:footnote w:type="continuationSeparator" w:id="0">
    <w:p w:rsidR="000C09FC" w:rsidRDefault="000C09FC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BB"/>
    <w:rsid w:val="00071AF9"/>
    <w:rsid w:val="00097CED"/>
    <w:rsid w:val="000B473A"/>
    <w:rsid w:val="000C09FC"/>
    <w:rsid w:val="00160101"/>
    <w:rsid w:val="002237AC"/>
    <w:rsid w:val="002B32BB"/>
    <w:rsid w:val="00307C2C"/>
    <w:rsid w:val="00333D8E"/>
    <w:rsid w:val="00364433"/>
    <w:rsid w:val="004C02B1"/>
    <w:rsid w:val="0050296A"/>
    <w:rsid w:val="005B4BC4"/>
    <w:rsid w:val="005E0CC5"/>
    <w:rsid w:val="00600DDF"/>
    <w:rsid w:val="00625BB4"/>
    <w:rsid w:val="00627B91"/>
    <w:rsid w:val="00752702"/>
    <w:rsid w:val="00880F38"/>
    <w:rsid w:val="008E7E71"/>
    <w:rsid w:val="009E5EFB"/>
    <w:rsid w:val="00CC66A7"/>
    <w:rsid w:val="00D95A69"/>
    <w:rsid w:val="00DF0FA7"/>
    <w:rsid w:val="00DF746E"/>
    <w:rsid w:val="00E93BA3"/>
    <w:rsid w:val="00EA2A32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45FA3EB-A9E4-420B-A3F2-C9D046B17253}"/>
</file>

<file path=customXml/itemProps2.xml><?xml version="1.0" encoding="utf-8"?>
<ds:datastoreItem xmlns:ds="http://schemas.openxmlformats.org/officeDocument/2006/customXml" ds:itemID="{1366EDAE-6622-4140-99A0-0464925B42BB}"/>
</file>

<file path=customXml/itemProps3.xml><?xml version="1.0" encoding="utf-8"?>
<ds:datastoreItem xmlns:ds="http://schemas.openxmlformats.org/officeDocument/2006/customXml" ds:itemID="{C93810CE-BA3A-4349-B612-F3F3060A2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David Cooke</cp:lastModifiedBy>
  <cp:revision>6</cp:revision>
  <dcterms:created xsi:type="dcterms:W3CDTF">2017-01-16T13:24:00Z</dcterms:created>
  <dcterms:modified xsi:type="dcterms:W3CDTF">2017-01-17T11:11:00Z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