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92" w:rsidRDefault="00821D92" w:rsidP="00821D92">
      <w:pPr>
        <w:pStyle w:val="BodyB"/>
        <w:spacing w:line="288" w:lineRule="auto"/>
        <w:rPr>
          <w:rFonts w:ascii="Helvetica" w:eastAsia="Helvetica" w:hAnsi="Helvetica" w:cs="Helvetica"/>
          <w:b/>
          <w:bCs/>
          <w:sz w:val="26"/>
          <w:szCs w:val="26"/>
        </w:rPr>
      </w:pPr>
      <w:bookmarkStart w:id="0" w:name="_GoBack"/>
      <w:bookmarkEnd w:id="0"/>
      <w:r>
        <w:rPr>
          <w:rFonts w:ascii="Helvetica" w:hAnsi="Helvetica"/>
          <w:b/>
          <w:bCs/>
          <w:sz w:val="26"/>
          <w:szCs w:val="26"/>
        </w:rPr>
        <w:t xml:space="preserve">Andrea </w:t>
      </w:r>
      <w:proofErr w:type="spellStart"/>
      <w:r>
        <w:rPr>
          <w:rFonts w:ascii="Helvetica" w:hAnsi="Helvetica"/>
          <w:b/>
          <w:bCs/>
          <w:sz w:val="26"/>
          <w:szCs w:val="26"/>
        </w:rPr>
        <w:t>Bü</w:t>
      </w:r>
      <w:proofErr w:type="spellEnd"/>
      <w:r>
        <w:rPr>
          <w:rFonts w:ascii="Helvetica" w:hAnsi="Helvetica"/>
          <w:b/>
          <w:bCs/>
          <w:sz w:val="26"/>
          <w:szCs w:val="26"/>
          <w:lang w:val="sv-SE"/>
        </w:rPr>
        <w:t>ttner</w:t>
      </w:r>
    </w:p>
    <w:p w:rsidR="00821D92" w:rsidRDefault="00821D92" w:rsidP="00821D92">
      <w:pPr>
        <w:pStyle w:val="BodyB"/>
        <w:spacing w:line="288" w:lineRule="auto"/>
        <w:rPr>
          <w:rFonts w:ascii="Helvetica" w:eastAsia="Helvetica" w:hAnsi="Helvetica" w:cs="Helvetica"/>
          <w:sz w:val="26"/>
          <w:szCs w:val="26"/>
        </w:rPr>
      </w:pPr>
    </w:p>
    <w:p w:rsidR="00821D92" w:rsidRDefault="00821D92" w:rsidP="00821D92">
      <w:pPr>
        <w:pStyle w:val="BodyB"/>
        <w:spacing w:line="288" w:lineRule="auto"/>
        <w:rPr>
          <w:rFonts w:ascii="Helvetica" w:eastAsia="Helvetica" w:hAnsi="Helvetica" w:cs="Helvetica"/>
          <w:sz w:val="26"/>
          <w:szCs w:val="26"/>
        </w:rPr>
      </w:pPr>
      <w:r>
        <w:rPr>
          <w:rFonts w:ascii="Helvetica" w:hAnsi="Helvetica"/>
          <w:sz w:val="26"/>
          <w:szCs w:val="26"/>
        </w:rPr>
        <w:t xml:space="preserve">Andrea </w:t>
      </w:r>
      <w:proofErr w:type="spellStart"/>
      <w:r>
        <w:rPr>
          <w:rFonts w:ascii="Helvetica" w:hAnsi="Helvetica"/>
          <w:sz w:val="26"/>
          <w:szCs w:val="26"/>
        </w:rPr>
        <w:t>Bü</w:t>
      </w:r>
      <w:proofErr w:type="spellEnd"/>
      <w:r>
        <w:rPr>
          <w:rFonts w:ascii="Helvetica" w:hAnsi="Helvetica"/>
          <w:sz w:val="26"/>
          <w:szCs w:val="26"/>
          <w:lang w:val="sv-SE"/>
        </w:rPr>
        <w:t>ttner</w:t>
      </w:r>
      <w:r>
        <w:rPr>
          <w:rFonts w:ascii="Helvetica" w:hAnsi="Helvetica"/>
          <w:sz w:val="26"/>
          <w:szCs w:val="26"/>
        </w:rPr>
        <w:t xml:space="preserve"> was born in 1972 in Stuttgart, Germany, and lives and works in London and Berlin. Her work employs a broad range of media, including woodblock printing, paint, film and sculpture to explore fine art, design and craft histories, with a specific focus on exhibition display. Her subjects include shame, embarrassment and poverty and the relationship between aesthetics and ethics. </w:t>
      </w:r>
    </w:p>
    <w:p w:rsidR="00821D92" w:rsidRDefault="00821D92" w:rsidP="00821D92">
      <w:pPr>
        <w:pStyle w:val="BodyB"/>
        <w:spacing w:line="288" w:lineRule="auto"/>
        <w:rPr>
          <w:rFonts w:ascii="Helvetica" w:eastAsia="Helvetica" w:hAnsi="Helvetica" w:cs="Helvetica"/>
          <w:sz w:val="26"/>
          <w:szCs w:val="26"/>
        </w:rPr>
      </w:pPr>
    </w:p>
    <w:p w:rsidR="00821D92" w:rsidRDefault="00821D92" w:rsidP="00821D92">
      <w:pPr>
        <w:pStyle w:val="BodyB"/>
        <w:spacing w:line="288" w:lineRule="auto"/>
        <w:rPr>
          <w:rFonts w:ascii="Helvetica" w:eastAsia="Helvetica" w:hAnsi="Helvetica" w:cs="Helvetica"/>
          <w:sz w:val="26"/>
          <w:szCs w:val="26"/>
        </w:rPr>
      </w:pPr>
      <w:r>
        <w:rPr>
          <w:rFonts w:ascii="Helvetica" w:hAnsi="Helvetica"/>
          <w:sz w:val="26"/>
          <w:szCs w:val="26"/>
        </w:rPr>
        <w:t xml:space="preserve">Frequently focusing on everyday subjects and objects, </w:t>
      </w:r>
      <w:proofErr w:type="spellStart"/>
      <w:r>
        <w:rPr>
          <w:rFonts w:ascii="Helvetica" w:hAnsi="Helvetica"/>
          <w:sz w:val="26"/>
          <w:szCs w:val="26"/>
        </w:rPr>
        <w:t>Bü</w:t>
      </w:r>
      <w:proofErr w:type="spellEnd"/>
      <w:r>
        <w:rPr>
          <w:rFonts w:ascii="Helvetica" w:hAnsi="Helvetica"/>
          <w:sz w:val="26"/>
          <w:szCs w:val="26"/>
          <w:lang w:val="sv-SE"/>
        </w:rPr>
        <w:t xml:space="preserve">ttner </w:t>
      </w:r>
      <w:r>
        <w:rPr>
          <w:rFonts w:ascii="Helvetica" w:hAnsi="Helvetica"/>
          <w:sz w:val="26"/>
          <w:szCs w:val="26"/>
        </w:rPr>
        <w:t xml:space="preserve">draws attention to the fallibility of the human body. </w:t>
      </w:r>
      <w:r>
        <w:rPr>
          <w:rFonts w:ascii="Helvetica" w:hAnsi="Helvetica"/>
          <w:i/>
          <w:iCs/>
          <w:sz w:val="26"/>
          <w:szCs w:val="26"/>
        </w:rPr>
        <w:t>Fabric Painting</w:t>
      </w:r>
      <w:r>
        <w:rPr>
          <w:rFonts w:ascii="Helvetica" w:hAnsi="Helvetica"/>
          <w:sz w:val="26"/>
          <w:szCs w:val="26"/>
        </w:rPr>
        <w:t>, 2017,</w:t>
      </w:r>
      <w:r>
        <w:rPr>
          <w:rFonts w:ascii="Helvetica" w:hAnsi="Helvetica"/>
          <w:sz w:val="26"/>
          <w:szCs w:val="26"/>
          <w:lang w:val="it-IT"/>
        </w:rPr>
        <w:t xml:space="preserve"> incorporat</w:t>
      </w:r>
      <w:proofErr w:type="spellStart"/>
      <w:r>
        <w:rPr>
          <w:rFonts w:ascii="Helvetica" w:hAnsi="Helvetica"/>
          <w:sz w:val="26"/>
          <w:szCs w:val="26"/>
        </w:rPr>
        <w:t>es</w:t>
      </w:r>
      <w:proofErr w:type="spellEnd"/>
      <w:r>
        <w:rPr>
          <w:rFonts w:ascii="Helvetica" w:hAnsi="Helvetica"/>
          <w:sz w:val="26"/>
          <w:szCs w:val="26"/>
        </w:rPr>
        <w:t xml:space="preserve"> fluorescent yellow material that is typically worn by paramedics and security guards, professions that maintain and protect us. For a material that is hyper-visible, its ubiquity within public spaces makes it curiously invisible and, while such </w:t>
      </w:r>
      <w:proofErr w:type="spellStart"/>
      <w:r>
        <w:rPr>
          <w:rFonts w:ascii="Helvetica" w:hAnsi="Helvetica"/>
          <w:sz w:val="26"/>
          <w:szCs w:val="26"/>
        </w:rPr>
        <w:t>labour</w:t>
      </w:r>
      <w:proofErr w:type="spellEnd"/>
      <w:r>
        <w:rPr>
          <w:rFonts w:ascii="Helvetica" w:hAnsi="Helvetica"/>
          <w:sz w:val="26"/>
          <w:szCs w:val="26"/>
        </w:rPr>
        <w:t xml:space="preserve"> is vital, it is often undervalued. </w:t>
      </w:r>
    </w:p>
    <w:p w:rsidR="00821D92" w:rsidRDefault="00821D92" w:rsidP="00821D92">
      <w:pPr>
        <w:pStyle w:val="BodyB"/>
        <w:spacing w:line="288" w:lineRule="auto"/>
        <w:rPr>
          <w:rFonts w:ascii="Helvetica" w:eastAsia="Helvetica" w:hAnsi="Helvetica" w:cs="Helvetica"/>
          <w:sz w:val="26"/>
          <w:szCs w:val="26"/>
        </w:rPr>
      </w:pPr>
    </w:p>
    <w:p w:rsidR="00821D92" w:rsidRDefault="00821D92" w:rsidP="00821D92">
      <w:pPr>
        <w:pStyle w:val="BodyB"/>
        <w:spacing w:line="288" w:lineRule="auto"/>
        <w:rPr>
          <w:rFonts w:ascii="Helvetica" w:eastAsia="Helvetica" w:hAnsi="Helvetica" w:cs="Helvetica"/>
          <w:sz w:val="26"/>
          <w:szCs w:val="26"/>
        </w:rPr>
      </w:pPr>
      <w:r>
        <w:rPr>
          <w:rFonts w:ascii="Helvetica" w:hAnsi="Helvetica"/>
          <w:sz w:val="26"/>
          <w:szCs w:val="26"/>
        </w:rPr>
        <w:t xml:space="preserve">For the series </w:t>
      </w:r>
      <w:r>
        <w:rPr>
          <w:rFonts w:ascii="Helvetica" w:hAnsi="Helvetica"/>
          <w:i/>
          <w:iCs/>
          <w:sz w:val="26"/>
          <w:szCs w:val="26"/>
        </w:rPr>
        <w:t xml:space="preserve">Beggar, </w:t>
      </w:r>
      <w:r>
        <w:rPr>
          <w:rFonts w:ascii="Helvetica" w:hAnsi="Helvetica"/>
          <w:sz w:val="26"/>
          <w:szCs w:val="26"/>
        </w:rPr>
        <w:t xml:space="preserve">2016, </w:t>
      </w:r>
      <w:proofErr w:type="spellStart"/>
      <w:r>
        <w:rPr>
          <w:rFonts w:ascii="Helvetica" w:hAnsi="Helvetica"/>
          <w:sz w:val="26"/>
          <w:szCs w:val="26"/>
        </w:rPr>
        <w:t>Bü</w:t>
      </w:r>
      <w:proofErr w:type="spellEnd"/>
      <w:r>
        <w:rPr>
          <w:rFonts w:ascii="Helvetica" w:hAnsi="Helvetica"/>
          <w:sz w:val="26"/>
          <w:szCs w:val="26"/>
          <w:lang w:val="sv-SE"/>
        </w:rPr>
        <w:t>ttner</w:t>
      </w:r>
      <w:r>
        <w:rPr>
          <w:rFonts w:ascii="Helvetica" w:hAnsi="Helvetica"/>
          <w:sz w:val="26"/>
          <w:szCs w:val="26"/>
        </w:rPr>
        <w:t xml:space="preserve"> draws inspiration from</w:t>
      </w:r>
      <w:r>
        <w:rPr>
          <w:rFonts w:ascii="Helvetica" w:hAnsi="Helvetica"/>
          <w:b/>
          <w:bCs/>
          <w:sz w:val="26"/>
          <w:szCs w:val="26"/>
        </w:rPr>
        <w:t xml:space="preserve"> </w:t>
      </w:r>
      <w:r>
        <w:rPr>
          <w:rFonts w:ascii="Helvetica" w:hAnsi="Helvetica"/>
          <w:sz w:val="26"/>
          <w:szCs w:val="26"/>
        </w:rPr>
        <w:t xml:space="preserve">German artist Ernst </w:t>
      </w:r>
      <w:proofErr w:type="spellStart"/>
      <w:r>
        <w:rPr>
          <w:rFonts w:ascii="Helvetica" w:hAnsi="Helvetica"/>
          <w:sz w:val="26"/>
          <w:szCs w:val="26"/>
        </w:rPr>
        <w:t>Barlach’s</w:t>
      </w:r>
      <w:proofErr w:type="spellEnd"/>
      <w:r>
        <w:rPr>
          <w:rFonts w:ascii="Helvetica" w:hAnsi="Helvetica"/>
          <w:sz w:val="26"/>
          <w:szCs w:val="26"/>
        </w:rPr>
        <w:t xml:space="preserve"> sculpture </w:t>
      </w:r>
      <w:proofErr w:type="spellStart"/>
      <w:r>
        <w:rPr>
          <w:rFonts w:ascii="Helvetica" w:hAnsi="Helvetica"/>
          <w:i/>
          <w:iCs/>
          <w:sz w:val="26"/>
          <w:szCs w:val="26"/>
        </w:rPr>
        <w:t>Verhüllte</w:t>
      </w:r>
      <w:proofErr w:type="spellEnd"/>
      <w:r>
        <w:rPr>
          <w:rFonts w:ascii="Helvetica" w:hAnsi="Helvetica"/>
          <w:i/>
          <w:iCs/>
          <w:sz w:val="26"/>
          <w:szCs w:val="26"/>
        </w:rPr>
        <w:t xml:space="preserve"> </w:t>
      </w:r>
      <w:proofErr w:type="spellStart"/>
      <w:r>
        <w:rPr>
          <w:rFonts w:ascii="Helvetica" w:hAnsi="Helvetica"/>
          <w:i/>
          <w:iCs/>
          <w:sz w:val="26"/>
          <w:szCs w:val="26"/>
        </w:rPr>
        <w:t>Bettlerin</w:t>
      </w:r>
      <w:proofErr w:type="spellEnd"/>
      <w:r>
        <w:rPr>
          <w:rFonts w:ascii="Helvetica" w:hAnsi="Helvetica"/>
          <w:sz w:val="26"/>
          <w:szCs w:val="26"/>
        </w:rPr>
        <w:t xml:space="preserve"> </w:t>
      </w:r>
      <w:r>
        <w:rPr>
          <w:rFonts w:ascii="Helvetica" w:hAnsi="Helvetica"/>
          <w:i/>
          <w:iCs/>
          <w:sz w:val="26"/>
          <w:szCs w:val="26"/>
        </w:rPr>
        <w:t xml:space="preserve">(Cloaked </w:t>
      </w:r>
      <w:proofErr w:type="spellStart"/>
      <w:r>
        <w:rPr>
          <w:rFonts w:ascii="Helvetica" w:hAnsi="Helvetica"/>
          <w:i/>
          <w:iCs/>
          <w:sz w:val="26"/>
          <w:szCs w:val="26"/>
        </w:rPr>
        <w:t>Beggarwoman</w:t>
      </w:r>
      <w:proofErr w:type="spellEnd"/>
      <w:r>
        <w:rPr>
          <w:rFonts w:ascii="Helvetica" w:hAnsi="Helvetica"/>
          <w:i/>
          <w:iCs/>
          <w:sz w:val="26"/>
          <w:szCs w:val="26"/>
        </w:rPr>
        <w:t xml:space="preserve">), </w:t>
      </w:r>
      <w:r>
        <w:rPr>
          <w:rFonts w:ascii="Helvetica" w:hAnsi="Helvetica"/>
          <w:sz w:val="26"/>
          <w:szCs w:val="26"/>
        </w:rPr>
        <w:t xml:space="preserve">1919, translating the </w:t>
      </w:r>
      <w:proofErr w:type="spellStart"/>
      <w:r>
        <w:rPr>
          <w:rFonts w:ascii="Helvetica" w:hAnsi="Helvetica"/>
          <w:sz w:val="26"/>
          <w:szCs w:val="26"/>
        </w:rPr>
        <w:t>anonymised</w:t>
      </w:r>
      <w:proofErr w:type="spellEnd"/>
      <w:r>
        <w:rPr>
          <w:rFonts w:ascii="Helvetica" w:hAnsi="Helvetica"/>
          <w:sz w:val="26"/>
          <w:szCs w:val="26"/>
        </w:rPr>
        <w:t xml:space="preserve"> kneeling figure across a series of nine woodblock prints. </w:t>
      </w:r>
      <w:proofErr w:type="spellStart"/>
      <w:r>
        <w:rPr>
          <w:rFonts w:ascii="Helvetica" w:hAnsi="Helvetica"/>
          <w:sz w:val="26"/>
          <w:szCs w:val="26"/>
        </w:rPr>
        <w:t>Bü</w:t>
      </w:r>
      <w:proofErr w:type="spellEnd"/>
      <w:r>
        <w:rPr>
          <w:rFonts w:ascii="Helvetica" w:hAnsi="Helvetica"/>
          <w:sz w:val="26"/>
          <w:szCs w:val="26"/>
          <w:lang w:val="sv-SE"/>
        </w:rPr>
        <w:t>ttner</w:t>
      </w:r>
      <w:r>
        <w:rPr>
          <w:rFonts w:ascii="Helvetica" w:hAnsi="Helvetica"/>
          <w:sz w:val="26"/>
          <w:szCs w:val="26"/>
        </w:rPr>
        <w:t xml:space="preserve">’s version, with arms outstretched, suggests shame and redemption. The character also makes reference to St Francis of Assisi who gave up material wealth and adopted a simple lifestyle. Material and economic poverty are repeatedly foregrounded by the artist. </w:t>
      </w:r>
    </w:p>
    <w:p w:rsidR="00821D92" w:rsidRDefault="00821D92" w:rsidP="00821D92">
      <w:pPr>
        <w:pStyle w:val="BodyA"/>
        <w:spacing w:line="288" w:lineRule="auto"/>
        <w:rPr>
          <w:sz w:val="26"/>
          <w:szCs w:val="26"/>
        </w:rPr>
      </w:pPr>
    </w:p>
    <w:p w:rsidR="00821D92" w:rsidRDefault="00821D92" w:rsidP="00821D92">
      <w:pPr>
        <w:pStyle w:val="BodyB"/>
        <w:spacing w:line="288" w:lineRule="auto"/>
        <w:rPr>
          <w:rFonts w:ascii="Helvetica" w:eastAsia="Helvetica" w:hAnsi="Helvetica" w:cs="Helvetica"/>
          <w:sz w:val="26"/>
          <w:szCs w:val="26"/>
        </w:rPr>
      </w:pPr>
      <w:r>
        <w:rPr>
          <w:rFonts w:ascii="Helvetica" w:hAnsi="Helvetica"/>
          <w:sz w:val="26"/>
          <w:szCs w:val="26"/>
        </w:rPr>
        <w:t xml:space="preserve">The figure of the beggar is a recurring motif within </w:t>
      </w:r>
      <w:proofErr w:type="spellStart"/>
      <w:r>
        <w:rPr>
          <w:rFonts w:ascii="Helvetica" w:hAnsi="Helvetica"/>
          <w:sz w:val="26"/>
          <w:szCs w:val="26"/>
        </w:rPr>
        <w:t>Büttner’s</w:t>
      </w:r>
      <w:proofErr w:type="spellEnd"/>
      <w:r>
        <w:rPr>
          <w:rFonts w:ascii="Helvetica" w:hAnsi="Helvetica"/>
          <w:sz w:val="26"/>
          <w:szCs w:val="26"/>
        </w:rPr>
        <w:t xml:space="preserve"> space, reappearing in her table-top presentation of archive images taken from the Warburg Institute. The display shows paintings of beggars found in auction catalogues, presented alongside information about the work’s ownership and date and place of sale. It allows Büttner to situate her own interests within a line of artistic ancestors. </w:t>
      </w:r>
    </w:p>
    <w:p w:rsidR="00821D92" w:rsidRDefault="00821D92" w:rsidP="00821D92">
      <w:pPr>
        <w:pStyle w:val="BodyA"/>
        <w:spacing w:line="288" w:lineRule="auto"/>
        <w:rPr>
          <w:sz w:val="26"/>
          <w:szCs w:val="26"/>
        </w:rPr>
      </w:pPr>
    </w:p>
    <w:p w:rsidR="00821D92" w:rsidRDefault="00821D92" w:rsidP="00821D92">
      <w:pPr>
        <w:pStyle w:val="BodyA"/>
        <w:spacing w:line="288" w:lineRule="auto"/>
        <w:rPr>
          <w:sz w:val="26"/>
          <w:szCs w:val="26"/>
        </w:rPr>
      </w:pPr>
      <w:r>
        <w:rPr>
          <w:sz w:val="26"/>
          <w:szCs w:val="26"/>
        </w:rPr>
        <w:t xml:space="preserve">For her Turner Prize exhibition Büttner also presents a display on loan from the Peace Library/Anti-War Museum of the Protestant Church of Berlin. </w:t>
      </w:r>
      <w:r>
        <w:rPr>
          <w:i/>
          <w:iCs/>
          <w:sz w:val="26"/>
          <w:szCs w:val="26"/>
        </w:rPr>
        <w:t>Simone Weil: The Most Dangerous Disease</w:t>
      </w:r>
      <w:r>
        <w:rPr>
          <w:sz w:val="26"/>
          <w:szCs w:val="26"/>
        </w:rPr>
        <w:t xml:space="preserve"> was made in 1990 as a response to the economic merger of East and West Germany and largely consists of texts by philosopher, political activist and pacifist Simone Weil. The display is typically loaned to </w:t>
      </w:r>
      <w:r w:rsidR="00D83610">
        <w:rPr>
          <w:sz w:val="26"/>
          <w:szCs w:val="26"/>
        </w:rPr>
        <w:t xml:space="preserve">churches, schools and </w:t>
      </w:r>
      <w:r>
        <w:rPr>
          <w:sz w:val="26"/>
          <w:szCs w:val="26"/>
        </w:rPr>
        <w:t xml:space="preserve">libraries to educate people on Weil’s writing and, here, forms a conversation with Andrea </w:t>
      </w:r>
      <w:proofErr w:type="spellStart"/>
      <w:r>
        <w:rPr>
          <w:sz w:val="26"/>
          <w:szCs w:val="26"/>
        </w:rPr>
        <w:t>Büttner’s</w:t>
      </w:r>
      <w:proofErr w:type="spellEnd"/>
      <w:r>
        <w:rPr>
          <w:sz w:val="26"/>
          <w:szCs w:val="26"/>
        </w:rPr>
        <w:t xml:space="preserve"> interest in theology, politics and activism. </w:t>
      </w:r>
    </w:p>
    <w:p w:rsidR="00B9398B" w:rsidRDefault="00B9398B"/>
    <w:sectPr w:rsidR="00B9398B">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0D1" w:rsidRDefault="00A140D1">
      <w:r>
        <w:separator/>
      </w:r>
    </w:p>
  </w:endnote>
  <w:endnote w:type="continuationSeparator" w:id="0">
    <w:p w:rsidR="00A140D1" w:rsidRDefault="00A1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42" w:rsidRDefault="00A140D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0D1" w:rsidRDefault="00A140D1">
      <w:r>
        <w:separator/>
      </w:r>
    </w:p>
  </w:footnote>
  <w:footnote w:type="continuationSeparator" w:id="0">
    <w:p w:rsidR="00A140D1" w:rsidRDefault="00A14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42" w:rsidRDefault="00A140D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92"/>
    <w:rsid w:val="001C2A9B"/>
    <w:rsid w:val="00302398"/>
    <w:rsid w:val="00821D92"/>
    <w:rsid w:val="00A140D1"/>
    <w:rsid w:val="00B9398B"/>
    <w:rsid w:val="00D83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DE33C-8BB5-4943-89D5-75B2C32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821D9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21D9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paragraph" w:customStyle="1" w:styleId="BodyA">
    <w:name w:val="Body A"/>
    <w:rsid w:val="00821D9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customStyle="1" w:styleId="BodyB">
    <w:name w:val="Body B"/>
    <w:rsid w:val="00821D9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859E08F-7F34-47B1-9A7A-A1284C453797}"/>
</file>

<file path=customXml/itemProps2.xml><?xml version="1.0" encoding="utf-8"?>
<ds:datastoreItem xmlns:ds="http://schemas.openxmlformats.org/officeDocument/2006/customXml" ds:itemID="{90859D13-268B-498B-9E96-243E3C8531F1}"/>
</file>

<file path=customXml/itemProps3.xml><?xml version="1.0" encoding="utf-8"?>
<ds:datastoreItem xmlns:ds="http://schemas.openxmlformats.org/officeDocument/2006/customXml" ds:itemID="{E403F87C-A389-4025-846E-D4247E5A87D3}"/>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cp:revision>
  <dcterms:created xsi:type="dcterms:W3CDTF">2017-09-19T15:33:00Z</dcterms:created>
  <dcterms:modified xsi:type="dcterms:W3CDTF">2017-09-19T15:33:00Z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