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2E24B" w14:textId="77777777" w:rsidR="00773250" w:rsidRDefault="00773250" w:rsidP="00773250">
      <w:pPr>
        <w:rPr>
          <w:rFonts w:ascii="Times" w:hAnsi="Times" w:cs="Times"/>
          <w:color w:val="262626"/>
          <w:sz w:val="32"/>
          <w:szCs w:val="32"/>
        </w:rPr>
      </w:pPr>
      <w:r>
        <w:rPr>
          <w:rFonts w:ascii="Times" w:hAnsi="Times" w:cs="Times"/>
          <w:color w:val="262626"/>
          <w:sz w:val="32"/>
          <w:szCs w:val="32"/>
        </w:rPr>
        <w:t>Eric Gill: The Body</w:t>
      </w:r>
    </w:p>
    <w:p w14:paraId="26101045" w14:textId="77777777" w:rsidR="00773250" w:rsidRDefault="00773250">
      <w:pPr>
        <w:rPr>
          <w:rFonts w:ascii="Times" w:hAnsi="Times" w:cs="Times"/>
          <w:color w:val="262626"/>
          <w:sz w:val="32"/>
          <w:szCs w:val="32"/>
        </w:rPr>
      </w:pPr>
    </w:p>
    <w:p w14:paraId="514CE34F" w14:textId="77777777" w:rsidR="00A05CBD" w:rsidRDefault="00773250">
      <w:pPr>
        <w:rPr>
          <w:rFonts w:ascii="Times" w:hAnsi="Times" w:cs="Times"/>
          <w:color w:val="262626"/>
          <w:sz w:val="32"/>
          <w:szCs w:val="32"/>
        </w:rPr>
      </w:pPr>
      <w:proofErr w:type="spellStart"/>
      <w:r>
        <w:rPr>
          <w:rFonts w:ascii="Times" w:hAnsi="Times" w:cs="Times"/>
          <w:color w:val="262626"/>
          <w:sz w:val="32"/>
          <w:szCs w:val="32"/>
        </w:rPr>
        <w:t>Ditchling</w:t>
      </w:r>
      <w:proofErr w:type="spellEnd"/>
      <w:r>
        <w:rPr>
          <w:rFonts w:ascii="Times" w:hAnsi="Times" w:cs="Times"/>
          <w:color w:val="262626"/>
          <w:sz w:val="32"/>
          <w:szCs w:val="32"/>
        </w:rPr>
        <w:t xml:space="preserve"> Museum of Art + Craft</w:t>
      </w:r>
    </w:p>
    <w:p w14:paraId="0DB9290A" w14:textId="77777777" w:rsidR="00FB72ED" w:rsidRDefault="00FB72ED">
      <w:pPr>
        <w:rPr>
          <w:rFonts w:ascii="Times" w:hAnsi="Times" w:cs="Times"/>
          <w:color w:val="262626"/>
          <w:sz w:val="32"/>
          <w:szCs w:val="32"/>
        </w:rPr>
      </w:pPr>
    </w:p>
    <w:p w14:paraId="13682839" w14:textId="77777777" w:rsidR="00FB72ED" w:rsidRDefault="00FB72ED">
      <w:pPr>
        <w:rPr>
          <w:rFonts w:ascii="Times" w:hAnsi="Times" w:cs="Times"/>
          <w:color w:val="262626"/>
          <w:sz w:val="32"/>
          <w:szCs w:val="32"/>
        </w:rPr>
      </w:pPr>
      <w:r>
        <w:rPr>
          <w:rFonts w:ascii="Times" w:hAnsi="Times" w:cs="Times"/>
          <w:color w:val="262626"/>
          <w:sz w:val="32"/>
          <w:szCs w:val="32"/>
        </w:rPr>
        <w:t>Opens 29</w:t>
      </w:r>
      <w:r w:rsidRPr="00FB72ED">
        <w:rPr>
          <w:rFonts w:ascii="Times" w:hAnsi="Times" w:cs="Times"/>
          <w:color w:val="262626"/>
          <w:sz w:val="32"/>
          <w:szCs w:val="32"/>
          <w:vertAlign w:val="superscript"/>
        </w:rPr>
        <w:t>th</w:t>
      </w:r>
      <w:r>
        <w:rPr>
          <w:rFonts w:ascii="Times" w:hAnsi="Times" w:cs="Times"/>
          <w:color w:val="262626"/>
          <w:sz w:val="32"/>
          <w:szCs w:val="32"/>
        </w:rPr>
        <w:t xml:space="preserve"> April</w:t>
      </w:r>
    </w:p>
    <w:p w14:paraId="1DDBC00B" w14:textId="77777777" w:rsidR="00773250" w:rsidRDefault="00773250">
      <w:pPr>
        <w:rPr>
          <w:rFonts w:ascii="Times" w:hAnsi="Times" w:cs="Times"/>
          <w:color w:val="262626"/>
          <w:sz w:val="32"/>
          <w:szCs w:val="32"/>
        </w:rPr>
      </w:pPr>
    </w:p>
    <w:p w14:paraId="1263155B" w14:textId="77777777" w:rsidR="00773250" w:rsidRDefault="00912C7A">
      <w:hyperlink r:id="rId5" w:history="1">
        <w:r w:rsidR="00FB72ED" w:rsidRPr="004C63D2">
          <w:rPr>
            <w:rStyle w:val="Hyperlink"/>
          </w:rPr>
          <w:t>https://www.theguardian.com/artanddesign/2017/apr/09/eric-gill-the-body-ditchling-exhibition-rachel-cooke</w:t>
        </w:r>
      </w:hyperlink>
    </w:p>
    <w:p w14:paraId="7E36EFBD" w14:textId="77777777" w:rsidR="00FB72ED" w:rsidRDefault="00FB72ED"/>
    <w:p w14:paraId="1C9821E5" w14:textId="65FEC2E3" w:rsidR="00FB72ED" w:rsidRDefault="00912C7A">
      <w:hyperlink r:id="rId6" w:history="1">
        <w:r w:rsidR="00C3673C" w:rsidRPr="004C63D2">
          <w:rPr>
            <w:rStyle w:val="Hyperlink"/>
          </w:rPr>
          <w:t>http://www.museumsassociation.org/museums-journal/news/12042017-ditchling-museum-exhibition-to-confront-eric-gill-child-sex-abuse</w:t>
        </w:r>
      </w:hyperlink>
    </w:p>
    <w:p w14:paraId="297DFC31" w14:textId="77777777" w:rsidR="00C3673C" w:rsidRDefault="00C3673C"/>
    <w:p w14:paraId="798779CB" w14:textId="75DAB32A" w:rsidR="00C3673C" w:rsidRDefault="00912C7A">
      <w:hyperlink r:id="rId7" w:history="1">
        <w:r w:rsidR="002B140F" w:rsidRPr="004C63D2">
          <w:rPr>
            <w:rStyle w:val="Hyperlink"/>
          </w:rPr>
          <w:t>http://www.museumsassociation.org/ethics</w:t>
        </w:r>
      </w:hyperlink>
    </w:p>
    <w:p w14:paraId="2D567832" w14:textId="77777777" w:rsidR="002B140F" w:rsidRDefault="002B140F"/>
    <w:p w14:paraId="5B3FBDAE" w14:textId="05B29B30" w:rsidR="002B140F" w:rsidRDefault="00912C7A">
      <w:hyperlink r:id="rId8" w:history="1">
        <w:r w:rsidR="002B140F" w:rsidRPr="004C63D2">
          <w:rPr>
            <w:rStyle w:val="Hyperlink"/>
          </w:rPr>
          <w:t>http://www.museumsassociation.org/download?id=1155827</w:t>
        </w:r>
      </w:hyperlink>
    </w:p>
    <w:p w14:paraId="333D8C23" w14:textId="77777777" w:rsidR="002B140F" w:rsidRDefault="002B140F"/>
    <w:p w14:paraId="4262112F" w14:textId="77777777" w:rsidR="00643EE3" w:rsidRDefault="00643EE3"/>
    <w:p w14:paraId="4201C096" w14:textId="77777777" w:rsidR="005A4F9F" w:rsidRDefault="005A4F9F">
      <w:r>
        <w:t xml:space="preserve">And THIS </w:t>
      </w:r>
    </w:p>
    <w:p w14:paraId="473A0E51" w14:textId="72B47105" w:rsidR="00643EE3" w:rsidRDefault="00643EE3">
      <w:r>
        <w:t>Good Article on why some</w:t>
      </w:r>
      <w:r w:rsidR="00EC1C57">
        <w:t>one</w:t>
      </w:r>
      <w:r>
        <w:t xml:space="preserve"> refuse</w:t>
      </w:r>
      <w:r w:rsidR="00EC1C57">
        <w:t>s</w:t>
      </w:r>
      <w:r>
        <w:t xml:space="preserve"> to use Gill Sans – explores Roland Barthes Death of the Author views on audience interpretation more important than author intention…</w:t>
      </w:r>
    </w:p>
    <w:p w14:paraId="194415E4" w14:textId="6812CEA3" w:rsidR="00643EE3" w:rsidRDefault="00912C7A">
      <w:hyperlink r:id="rId9" w:history="1">
        <w:r w:rsidRPr="002375DC">
          <w:rPr>
            <w:rStyle w:val="Hyperlink"/>
          </w:rPr>
          <w:t>http://www.digitalartsonline.co.uk/news/illustration/eric-gill/</w:t>
        </w:r>
      </w:hyperlink>
    </w:p>
    <w:p w14:paraId="7F2689C8" w14:textId="77777777" w:rsidR="00912C7A" w:rsidRDefault="00912C7A"/>
    <w:p w14:paraId="0F9DD810" w14:textId="77777777" w:rsidR="00912C7A" w:rsidRPr="00912C7A" w:rsidRDefault="00912C7A" w:rsidP="00912C7A">
      <w:pPr>
        <w:widowControl w:val="0"/>
        <w:autoSpaceDE w:val="0"/>
        <w:autoSpaceDN w:val="0"/>
        <w:adjustRightInd w:val="0"/>
        <w:rPr>
          <w:rFonts w:ascii="Times" w:hAnsi="Times" w:cs="Times"/>
          <w:i/>
          <w:color w:val="262626"/>
          <w:sz w:val="28"/>
          <w:szCs w:val="28"/>
        </w:rPr>
      </w:pPr>
      <w:r w:rsidRPr="00912C7A">
        <w:rPr>
          <w:rFonts w:ascii="Times" w:hAnsi="Times" w:cs="Times"/>
          <w:i/>
          <w:color w:val="262626"/>
          <w:sz w:val="28"/>
          <w:szCs w:val="28"/>
        </w:rPr>
        <w:t xml:space="preserve">Roland Barthes’ </w:t>
      </w:r>
      <w:r w:rsidRPr="00912C7A">
        <w:rPr>
          <w:rFonts w:ascii="Times" w:hAnsi="Times" w:cs="Times"/>
          <w:i/>
          <w:iCs/>
          <w:color w:val="262626"/>
          <w:sz w:val="28"/>
          <w:szCs w:val="28"/>
        </w:rPr>
        <w:t>Death of the Author</w:t>
      </w:r>
      <w:r w:rsidRPr="00912C7A">
        <w:rPr>
          <w:rFonts w:ascii="Times" w:hAnsi="Times" w:cs="Times"/>
          <w:i/>
          <w:color w:val="262626"/>
          <w:sz w:val="28"/>
          <w:szCs w:val="28"/>
        </w:rPr>
        <w:t xml:space="preserve"> – a persuasive essay drilled into me at university saying you should judge all art forms (and type design is an art as much as painting) on their own merits, separate from the biographical details of the author.</w:t>
      </w:r>
    </w:p>
    <w:p w14:paraId="348E29F1" w14:textId="35769FC0" w:rsidR="00912C7A" w:rsidRPr="00912C7A" w:rsidRDefault="00912C7A" w:rsidP="00912C7A">
      <w:pPr>
        <w:rPr>
          <w:i/>
          <w:sz w:val="28"/>
          <w:szCs w:val="28"/>
        </w:rPr>
      </w:pPr>
      <w:r w:rsidRPr="00912C7A">
        <w:rPr>
          <w:rFonts w:ascii="Times" w:hAnsi="Times" w:cs="Times"/>
          <w:i/>
          <w:color w:val="262626"/>
          <w:sz w:val="28"/>
          <w:szCs w:val="28"/>
        </w:rPr>
        <w:t>Barthes essay isn’t about judging works based on the moral character (or lack of) of the creator, it’s more concerned with warning us against interpreting the meaning of works based on biographical details that may or may not have in an author's mind when they wrote a piece. At its core is a philosophy that our interpretation of works based on our own experiences is more important than what we think the creator meant. Our response is paramount – and my response to Gill’s work is one of revulsion.</w:t>
      </w:r>
      <w:bookmarkStart w:id="0" w:name="_GoBack"/>
      <w:bookmarkEnd w:id="0"/>
    </w:p>
    <w:sectPr w:rsidR="00912C7A" w:rsidRPr="00912C7A" w:rsidSect="00AF2B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250"/>
    <w:rsid w:val="002B140F"/>
    <w:rsid w:val="005A4F9F"/>
    <w:rsid w:val="00643EE3"/>
    <w:rsid w:val="00773250"/>
    <w:rsid w:val="00912C7A"/>
    <w:rsid w:val="00A05CBD"/>
    <w:rsid w:val="00AF2BDE"/>
    <w:rsid w:val="00C3673C"/>
    <w:rsid w:val="00EC1C57"/>
    <w:rsid w:val="00FB7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9343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2E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2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useumsassociation.org/download?id=1155827"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museumsassociation.org/ethics" TargetMode="External"/><Relationship Id="rId12"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hyperlink" Target="http://www.museumsassociation.org/museums-journal/news/12042017-ditchling-museum-exhibition-to-confront-eric-gill-child-sex-abuse" TargetMode="External"/><Relationship Id="rId11" Type="http://schemas.openxmlformats.org/officeDocument/2006/relationships/theme" Target="theme/theme1.xml"/><Relationship Id="rId1" Type="http://schemas.openxmlformats.org/officeDocument/2006/relationships/styles" Target="styles.xml"/><Relationship Id="rId5" Type="http://schemas.openxmlformats.org/officeDocument/2006/relationships/hyperlink" Target="https://www.theguardian.com/artanddesign/2017/apr/09/eric-gill-the-body-ditchling-exhibition-rachel-cook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gitalartsonline.co.uk/news/illustration/eric-gil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751EE-91B6-4C46-917F-098365682D43}"/>
</file>

<file path=customXml/itemProps2.xml><?xml version="1.0" encoding="utf-8"?>
<ds:datastoreItem xmlns:ds="http://schemas.openxmlformats.org/officeDocument/2006/customXml" ds:itemID="{4C47E869-9BC9-4AC2-9BED-0B6085FAFD13}"/>
</file>

<file path=customXml/itemProps3.xml><?xml version="1.0" encoding="utf-8"?>
<ds:datastoreItem xmlns:ds="http://schemas.openxmlformats.org/officeDocument/2006/customXml" ds:itemID="{57A4F3D0-EE36-4AA3-A16D-95B05DE48DF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1598</Characters>
  <Application>Microsoft Macintosh Word</Application>
  <DocSecurity>0</DocSecurity>
  <Lines>13</Lines>
  <Paragraphs>3</Paragraphs>
  <ScaleCrop>false</ScaleCrop>
  <Company>Harvest Films</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8</cp:revision>
  <dcterms:created xsi:type="dcterms:W3CDTF">2017-04-20T13:34:00Z</dcterms:created>
  <dcterms:modified xsi:type="dcterms:W3CDTF">2017-04-28T21:27:00Z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